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61F9" w14:textId="77777777" w:rsidR="00EC518C" w:rsidRDefault="00EC518C" w:rsidP="00EC518C">
      <w:bookmarkStart w:id="0" w:name="_Toc125543421"/>
      <w:bookmarkStart w:id="1" w:name="_Toc125543530"/>
      <w:bookmarkStart w:id="2" w:name="_Toc125543646"/>
      <w:bookmarkStart w:id="3" w:name="_Toc95934122"/>
      <w:bookmarkStart w:id="4" w:name="_Toc95934396"/>
      <w:bookmarkStart w:id="5" w:name="_Toc96000247"/>
      <w:bookmarkStart w:id="6" w:name="_Toc96348927"/>
      <w:bookmarkStart w:id="7" w:name="_Toc96614010"/>
      <w:bookmarkStart w:id="8" w:name="_Toc123288879"/>
      <w:bookmarkStart w:id="9" w:name="_Toc123292535"/>
      <w:bookmarkStart w:id="10" w:name="_Toc124761073"/>
      <w:bookmarkStart w:id="11" w:name="_Toc125381828"/>
    </w:p>
    <w:p w14:paraId="1FB24A7B" w14:textId="77777777" w:rsidR="00EC518C" w:rsidRDefault="00EC518C" w:rsidP="00EC518C"/>
    <w:p w14:paraId="55C88FC8" w14:textId="77777777" w:rsidR="00EC518C" w:rsidRDefault="00EC518C" w:rsidP="00EC518C"/>
    <w:p w14:paraId="4CFE5095" w14:textId="77777777" w:rsidR="00D63EB6" w:rsidRDefault="00D63EB6" w:rsidP="00EC518C">
      <w:pPr>
        <w:rPr>
          <w:b/>
          <w:bCs/>
          <w:sz w:val="44"/>
          <w:szCs w:val="32"/>
        </w:rPr>
      </w:pPr>
    </w:p>
    <w:p w14:paraId="269FAB23" w14:textId="77777777" w:rsidR="00D63EB6" w:rsidRDefault="00D63EB6" w:rsidP="00EC518C">
      <w:pPr>
        <w:rPr>
          <w:b/>
          <w:bCs/>
          <w:sz w:val="56"/>
          <w:szCs w:val="56"/>
        </w:rPr>
      </w:pPr>
    </w:p>
    <w:p w14:paraId="046BDD0F" w14:textId="39503EB6" w:rsidR="00C9232E" w:rsidRPr="00CA384C" w:rsidRDefault="0064779F" w:rsidP="00EC518C">
      <w:pPr>
        <w:rPr>
          <w:sz w:val="56"/>
          <w:szCs w:val="56"/>
        </w:rPr>
      </w:pPr>
      <w:r w:rsidRPr="00CA384C">
        <w:rPr>
          <w:b/>
          <w:bCs/>
          <w:sz w:val="56"/>
          <w:szCs w:val="56"/>
        </w:rPr>
        <w:t>Un</w:t>
      </w:r>
      <w:r w:rsidR="00BC32CD" w:rsidRPr="00CA384C">
        <w:rPr>
          <w:b/>
          <w:bCs/>
          <w:sz w:val="56"/>
          <w:szCs w:val="56"/>
        </w:rPr>
        <w:t>derfunded, under resourced and under pressure</w:t>
      </w:r>
      <w:bookmarkEnd w:id="0"/>
      <w:bookmarkEnd w:id="1"/>
      <w:bookmarkEnd w:id="2"/>
    </w:p>
    <w:p w14:paraId="1D4EA63B" w14:textId="77777777" w:rsidR="00EC518C" w:rsidRPr="00EC518C" w:rsidRDefault="00EC518C" w:rsidP="00CA384C"/>
    <w:p w14:paraId="1653B246" w14:textId="77777777" w:rsidR="00D63EB6" w:rsidRDefault="00D63EB6" w:rsidP="00D63EB6">
      <w:pPr>
        <w:rPr>
          <w:sz w:val="40"/>
          <w:szCs w:val="28"/>
        </w:rPr>
      </w:pPr>
      <w:bookmarkStart w:id="12" w:name="_Toc125543422"/>
      <w:bookmarkStart w:id="13" w:name="_Toc125543531"/>
      <w:bookmarkStart w:id="14" w:name="_Toc125543647"/>
    </w:p>
    <w:p w14:paraId="0F95AAFE" w14:textId="7A995A8D" w:rsidR="00D63EB6" w:rsidRPr="00B87E1C" w:rsidRDefault="00453142" w:rsidP="00B87E1C">
      <w:pPr>
        <w:spacing w:line="276" w:lineRule="auto"/>
        <w:rPr>
          <w:sz w:val="32"/>
          <w:szCs w:val="22"/>
        </w:rPr>
      </w:pPr>
      <w:r w:rsidRPr="00B87E1C">
        <w:rPr>
          <w:sz w:val="48"/>
          <w:szCs w:val="36"/>
        </w:rPr>
        <w:t xml:space="preserve">Gaps </w:t>
      </w:r>
      <w:r w:rsidR="00D63EB6" w:rsidRPr="00B87E1C">
        <w:rPr>
          <w:sz w:val="48"/>
          <w:szCs w:val="36"/>
        </w:rPr>
        <w:t xml:space="preserve">in Educational Support for Children and Young People with Vision Impairment in </w:t>
      </w:r>
      <w:r w:rsidR="00E54A13" w:rsidRPr="00B87E1C">
        <w:rPr>
          <w:sz w:val="48"/>
          <w:szCs w:val="36"/>
        </w:rPr>
        <w:t>England</w:t>
      </w:r>
      <w:r w:rsidR="000F1703" w:rsidRPr="00B87E1C">
        <w:rPr>
          <w:sz w:val="48"/>
          <w:szCs w:val="36"/>
        </w:rPr>
        <w:t xml:space="preserve"> </w:t>
      </w:r>
      <w:bookmarkEnd w:id="3"/>
      <w:bookmarkEnd w:id="4"/>
      <w:bookmarkEnd w:id="5"/>
      <w:bookmarkEnd w:id="6"/>
      <w:bookmarkEnd w:id="7"/>
      <w:bookmarkEnd w:id="8"/>
      <w:bookmarkEnd w:id="9"/>
      <w:bookmarkEnd w:id="10"/>
      <w:bookmarkEnd w:id="11"/>
      <w:bookmarkEnd w:id="12"/>
      <w:bookmarkEnd w:id="13"/>
      <w:bookmarkEnd w:id="14"/>
      <w:r w:rsidR="00666052" w:rsidRPr="00B87E1C">
        <w:rPr>
          <w:sz w:val="48"/>
          <w:szCs w:val="36"/>
        </w:rPr>
        <w:t>(</w:t>
      </w:r>
      <w:r w:rsidR="00731BA4" w:rsidRPr="00B87E1C">
        <w:rPr>
          <w:sz w:val="48"/>
          <w:szCs w:val="36"/>
        </w:rPr>
        <w:t>2022</w:t>
      </w:r>
      <w:r w:rsidR="00666052" w:rsidRPr="00B87E1C">
        <w:rPr>
          <w:sz w:val="48"/>
          <w:szCs w:val="36"/>
        </w:rPr>
        <w:t>)</w:t>
      </w:r>
    </w:p>
    <w:p w14:paraId="1441464D" w14:textId="77777777" w:rsidR="00D63EB6" w:rsidRDefault="00D63EB6" w:rsidP="00E54A13"/>
    <w:p w14:paraId="6C95213D" w14:textId="77777777" w:rsidR="00D63EB6" w:rsidRDefault="00D63EB6" w:rsidP="00E54A13"/>
    <w:p w14:paraId="30B04F79" w14:textId="77777777" w:rsidR="00D63EB6" w:rsidRDefault="00D63EB6" w:rsidP="00E54A13"/>
    <w:p w14:paraId="62B7CD91" w14:textId="77777777" w:rsidR="00D63EB6" w:rsidRDefault="00D63EB6" w:rsidP="00E54A13"/>
    <w:p w14:paraId="490A70E2" w14:textId="422EC552" w:rsidR="00B27B91" w:rsidRDefault="00B27B91" w:rsidP="00E54A13"/>
    <w:p w14:paraId="10FF18F7" w14:textId="3674BDCC" w:rsidR="00D63EB6" w:rsidRDefault="00D63EB6" w:rsidP="00E54A13"/>
    <w:p w14:paraId="37A21C11" w14:textId="33FDA457" w:rsidR="00D63EB6" w:rsidRDefault="00D63EB6" w:rsidP="00E54A13"/>
    <w:p w14:paraId="50AE569C" w14:textId="5A642B44" w:rsidR="00D63EB6" w:rsidRDefault="00D63EB6" w:rsidP="00E54A13"/>
    <w:p w14:paraId="4FDCA62B" w14:textId="31891CED" w:rsidR="00D63EB6" w:rsidRDefault="00D63EB6" w:rsidP="00E54A13"/>
    <w:p w14:paraId="7427800B" w14:textId="02D146E1" w:rsidR="00D63EB6" w:rsidRDefault="00D63EB6" w:rsidP="00E54A13"/>
    <w:p w14:paraId="6C92BC9A" w14:textId="4C6CF80C" w:rsidR="00D63EB6" w:rsidRDefault="00D63EB6" w:rsidP="00E54A13"/>
    <w:p w14:paraId="0B74D162" w14:textId="628713A1" w:rsidR="00D63EB6" w:rsidRDefault="00D63EB6" w:rsidP="00E54A13"/>
    <w:p w14:paraId="730905E4" w14:textId="4B216380" w:rsidR="00D63EB6" w:rsidRDefault="00D63EB6" w:rsidP="00E54A13"/>
    <w:p w14:paraId="413F7E1E" w14:textId="3568E9A9" w:rsidR="00D63EB6" w:rsidRDefault="00D63EB6" w:rsidP="00E54A13"/>
    <w:p w14:paraId="4F13AF76" w14:textId="77777777" w:rsidR="00D63EB6" w:rsidRDefault="00D63EB6" w:rsidP="00E54A13"/>
    <w:p w14:paraId="3805DF89" w14:textId="26D87335" w:rsidR="00E54A13" w:rsidRPr="00CA384C" w:rsidRDefault="00666052" w:rsidP="00E54A13">
      <w:pPr>
        <w:rPr>
          <w:b/>
          <w:bCs/>
          <w:sz w:val="32"/>
          <w:szCs w:val="22"/>
        </w:rPr>
      </w:pPr>
      <w:r>
        <w:rPr>
          <w:b/>
          <w:bCs/>
          <w:sz w:val="32"/>
          <w:szCs w:val="22"/>
        </w:rPr>
        <w:t>March</w:t>
      </w:r>
      <w:r w:rsidRPr="00CA384C">
        <w:rPr>
          <w:b/>
          <w:bCs/>
          <w:sz w:val="32"/>
          <w:szCs w:val="22"/>
        </w:rPr>
        <w:t xml:space="preserve"> </w:t>
      </w:r>
      <w:r w:rsidR="00E54A13" w:rsidRPr="00CA384C">
        <w:rPr>
          <w:b/>
          <w:bCs/>
          <w:sz w:val="32"/>
          <w:szCs w:val="22"/>
        </w:rPr>
        <w:t>202</w:t>
      </w:r>
      <w:r w:rsidR="004B45FD" w:rsidRPr="00CA384C">
        <w:rPr>
          <w:b/>
          <w:bCs/>
          <w:sz w:val="32"/>
          <w:szCs w:val="22"/>
        </w:rPr>
        <w:t>3</w:t>
      </w:r>
    </w:p>
    <w:p w14:paraId="6E36E44B" w14:textId="77777777" w:rsidR="00E54A13" w:rsidRPr="00CA384C" w:rsidRDefault="00E54A13" w:rsidP="00E54A13">
      <w:pPr>
        <w:rPr>
          <w:sz w:val="32"/>
          <w:szCs w:val="22"/>
        </w:rPr>
      </w:pPr>
    </w:p>
    <w:p w14:paraId="1288FF9B" w14:textId="4414A0B5" w:rsidR="00E54A13" w:rsidRPr="00B87E1C" w:rsidRDefault="00B87E1C" w:rsidP="00B87E1C">
      <w:pPr>
        <w:spacing w:line="276" w:lineRule="auto"/>
      </w:pPr>
      <w:r w:rsidRPr="00B87E1C">
        <w:t>Research and Insight Team, RNIB</w:t>
      </w:r>
    </w:p>
    <w:p w14:paraId="21DE9A1F" w14:textId="1C578B9E" w:rsidR="00B87E1C" w:rsidRPr="00B87E1C" w:rsidRDefault="00B4552C" w:rsidP="00B87E1C">
      <w:pPr>
        <w:spacing w:line="276" w:lineRule="auto"/>
      </w:pPr>
      <w:r w:rsidRPr="00B87E1C">
        <w:t>CYPF and Education Team</w:t>
      </w:r>
      <w:r w:rsidR="00E84310" w:rsidRPr="00B87E1C">
        <w:t xml:space="preserve">, </w:t>
      </w:r>
      <w:r w:rsidR="00B87E1C" w:rsidRPr="00B87E1C">
        <w:t>RNIB</w:t>
      </w:r>
    </w:p>
    <w:p w14:paraId="2CC2858C" w14:textId="03A9D582" w:rsidR="00E54A13" w:rsidRPr="00B87E1C" w:rsidRDefault="009B24A3" w:rsidP="00B87E1C">
      <w:pPr>
        <w:spacing w:line="276" w:lineRule="auto"/>
      </w:pPr>
      <w:r w:rsidRPr="00B87E1C">
        <w:t>Campaigns and Policy Team</w:t>
      </w:r>
      <w:r w:rsidR="00B87E1C" w:rsidRPr="00B87E1C">
        <w:t>, RNIB</w:t>
      </w:r>
    </w:p>
    <w:p w14:paraId="3A08F8C3" w14:textId="3E31E1E2" w:rsidR="00E54A13" w:rsidRPr="00E41665" w:rsidRDefault="00F52EDB" w:rsidP="00F52EDB">
      <w:pPr>
        <w:tabs>
          <w:tab w:val="left" w:pos="7650"/>
        </w:tabs>
      </w:pPr>
      <w:r>
        <w:tab/>
      </w:r>
    </w:p>
    <w:p w14:paraId="7B54BFE6" w14:textId="30FC1EAD" w:rsidR="00D63EB6" w:rsidRDefault="00D63EB6" w:rsidP="00CA384C">
      <w:r>
        <w:br w:type="page"/>
      </w:r>
    </w:p>
    <w:p w14:paraId="114F0DA0" w14:textId="33FD05B1" w:rsidR="00666052" w:rsidRPr="00666052" w:rsidRDefault="00D63EB6" w:rsidP="00666052">
      <w:pPr>
        <w:rPr>
          <w:b/>
          <w:bCs/>
          <w:sz w:val="44"/>
          <w:szCs w:val="44"/>
        </w:rPr>
      </w:pPr>
      <w:r w:rsidRPr="00666052">
        <w:rPr>
          <w:b/>
          <w:bCs/>
          <w:sz w:val="44"/>
          <w:szCs w:val="44"/>
        </w:rPr>
        <w:lastRenderedPageBreak/>
        <w:t xml:space="preserve">Contents </w:t>
      </w:r>
    </w:p>
    <w:sdt>
      <w:sdtPr>
        <w:rPr>
          <w:rFonts w:ascii="Arial" w:eastAsia="Times New Roman" w:hAnsi="Arial" w:cs="Times New Roman"/>
          <w:color w:val="auto"/>
          <w:sz w:val="26"/>
          <w:szCs w:val="26"/>
          <w:lang w:val="en-GB"/>
        </w:rPr>
        <w:id w:val="-1744094021"/>
        <w:docPartObj>
          <w:docPartGallery w:val="Table of Contents"/>
          <w:docPartUnique/>
        </w:docPartObj>
      </w:sdtPr>
      <w:sdtEndPr>
        <w:rPr>
          <w:b/>
          <w:bCs/>
          <w:noProof/>
        </w:rPr>
      </w:sdtEndPr>
      <w:sdtContent>
        <w:p w14:paraId="3FC43550" w14:textId="6A691A1B" w:rsidR="00666052" w:rsidRPr="00B27B91" w:rsidRDefault="00666052" w:rsidP="00666052">
          <w:pPr>
            <w:pStyle w:val="TOCHeading"/>
            <w:spacing w:line="276" w:lineRule="auto"/>
            <w:rPr>
              <w:sz w:val="10"/>
              <w:szCs w:val="10"/>
            </w:rPr>
          </w:pPr>
        </w:p>
        <w:p w14:paraId="4E2CB9D8" w14:textId="606D09A5" w:rsidR="00B27B91" w:rsidRDefault="00666052">
          <w:pPr>
            <w:pStyle w:val="TOC1"/>
            <w:rPr>
              <w:rFonts w:asciiTheme="minorHAnsi" w:eastAsiaTheme="minorEastAsia" w:hAnsiTheme="minorHAnsi" w:cstheme="minorBidi"/>
              <w:noProof/>
              <w:sz w:val="22"/>
              <w:szCs w:val="22"/>
              <w:lang w:eastAsia="en-GB"/>
            </w:rPr>
          </w:pPr>
          <w:r w:rsidRPr="00666052">
            <w:rPr>
              <w:sz w:val="26"/>
              <w:szCs w:val="26"/>
            </w:rPr>
            <w:fldChar w:fldCharType="begin"/>
          </w:r>
          <w:r w:rsidRPr="00666052">
            <w:rPr>
              <w:sz w:val="26"/>
              <w:szCs w:val="26"/>
            </w:rPr>
            <w:instrText xml:space="preserve"> TOC \o "1-3" \h \z \u </w:instrText>
          </w:r>
          <w:r w:rsidRPr="00666052">
            <w:rPr>
              <w:sz w:val="26"/>
              <w:szCs w:val="26"/>
            </w:rPr>
            <w:fldChar w:fldCharType="separate"/>
          </w:r>
          <w:hyperlink w:anchor="_Toc129775425" w:history="1">
            <w:r w:rsidR="00B27B91" w:rsidRPr="006D59F3">
              <w:rPr>
                <w:rStyle w:val="Hyperlink"/>
                <w:noProof/>
              </w:rPr>
              <w:t>Foreword</w:t>
            </w:r>
            <w:r w:rsidR="00B27B91">
              <w:rPr>
                <w:noProof/>
                <w:webHidden/>
              </w:rPr>
              <w:tab/>
            </w:r>
            <w:r w:rsidR="00B27B91">
              <w:rPr>
                <w:noProof/>
                <w:webHidden/>
              </w:rPr>
              <w:fldChar w:fldCharType="begin"/>
            </w:r>
            <w:r w:rsidR="00B27B91">
              <w:rPr>
                <w:noProof/>
                <w:webHidden/>
              </w:rPr>
              <w:instrText xml:space="preserve"> PAGEREF _Toc129775425 \h </w:instrText>
            </w:r>
            <w:r w:rsidR="00B27B91">
              <w:rPr>
                <w:noProof/>
                <w:webHidden/>
              </w:rPr>
            </w:r>
            <w:r w:rsidR="00B27B91">
              <w:rPr>
                <w:noProof/>
                <w:webHidden/>
              </w:rPr>
              <w:fldChar w:fldCharType="separate"/>
            </w:r>
            <w:r w:rsidR="00E22D4C">
              <w:rPr>
                <w:noProof/>
                <w:webHidden/>
              </w:rPr>
              <w:t>3</w:t>
            </w:r>
            <w:r w:rsidR="00B27B91">
              <w:rPr>
                <w:noProof/>
                <w:webHidden/>
              </w:rPr>
              <w:fldChar w:fldCharType="end"/>
            </w:r>
          </w:hyperlink>
        </w:p>
        <w:p w14:paraId="24E27D7F" w14:textId="3D2F5834" w:rsidR="00B27B91" w:rsidRDefault="00000000">
          <w:pPr>
            <w:pStyle w:val="TOC1"/>
            <w:rPr>
              <w:rFonts w:asciiTheme="minorHAnsi" w:eastAsiaTheme="minorEastAsia" w:hAnsiTheme="minorHAnsi" w:cstheme="minorBidi"/>
              <w:noProof/>
              <w:sz w:val="22"/>
              <w:szCs w:val="22"/>
              <w:lang w:eastAsia="en-GB"/>
            </w:rPr>
          </w:pPr>
          <w:hyperlink w:anchor="_Toc129775426" w:history="1">
            <w:r w:rsidR="00B27B91" w:rsidRPr="006D59F3">
              <w:rPr>
                <w:rStyle w:val="Hyperlink"/>
                <w:noProof/>
              </w:rPr>
              <w:t>Glossary</w:t>
            </w:r>
            <w:r w:rsidR="00B27B91">
              <w:rPr>
                <w:noProof/>
                <w:webHidden/>
              </w:rPr>
              <w:tab/>
            </w:r>
            <w:r w:rsidR="00B27B91">
              <w:rPr>
                <w:noProof/>
                <w:webHidden/>
              </w:rPr>
              <w:fldChar w:fldCharType="begin"/>
            </w:r>
            <w:r w:rsidR="00B27B91">
              <w:rPr>
                <w:noProof/>
                <w:webHidden/>
              </w:rPr>
              <w:instrText xml:space="preserve"> PAGEREF _Toc129775426 \h </w:instrText>
            </w:r>
            <w:r w:rsidR="00B27B91">
              <w:rPr>
                <w:noProof/>
                <w:webHidden/>
              </w:rPr>
            </w:r>
            <w:r w:rsidR="00B27B91">
              <w:rPr>
                <w:noProof/>
                <w:webHidden/>
              </w:rPr>
              <w:fldChar w:fldCharType="separate"/>
            </w:r>
            <w:r w:rsidR="00E22D4C">
              <w:rPr>
                <w:noProof/>
                <w:webHidden/>
              </w:rPr>
              <w:t>4</w:t>
            </w:r>
            <w:r w:rsidR="00B27B91">
              <w:rPr>
                <w:noProof/>
                <w:webHidden/>
              </w:rPr>
              <w:fldChar w:fldCharType="end"/>
            </w:r>
          </w:hyperlink>
        </w:p>
        <w:p w14:paraId="1FF52570" w14:textId="25FC9C70" w:rsidR="00B27B91" w:rsidRDefault="00000000">
          <w:pPr>
            <w:pStyle w:val="TOC1"/>
            <w:rPr>
              <w:rFonts w:asciiTheme="minorHAnsi" w:eastAsiaTheme="minorEastAsia" w:hAnsiTheme="minorHAnsi" w:cstheme="minorBidi"/>
              <w:noProof/>
              <w:sz w:val="22"/>
              <w:szCs w:val="22"/>
              <w:lang w:eastAsia="en-GB"/>
            </w:rPr>
          </w:pPr>
          <w:hyperlink w:anchor="_Toc129775427" w:history="1">
            <w:r w:rsidR="00B27B91" w:rsidRPr="006D59F3">
              <w:rPr>
                <w:rStyle w:val="Hyperlink"/>
                <w:noProof/>
              </w:rPr>
              <w:t>Executive Summary</w:t>
            </w:r>
            <w:r w:rsidR="00B27B91">
              <w:rPr>
                <w:noProof/>
                <w:webHidden/>
              </w:rPr>
              <w:tab/>
            </w:r>
            <w:r w:rsidR="00B27B91">
              <w:rPr>
                <w:noProof/>
                <w:webHidden/>
              </w:rPr>
              <w:fldChar w:fldCharType="begin"/>
            </w:r>
            <w:r w:rsidR="00B27B91">
              <w:rPr>
                <w:noProof/>
                <w:webHidden/>
              </w:rPr>
              <w:instrText xml:space="preserve"> PAGEREF _Toc129775427 \h </w:instrText>
            </w:r>
            <w:r w:rsidR="00B27B91">
              <w:rPr>
                <w:noProof/>
                <w:webHidden/>
              </w:rPr>
            </w:r>
            <w:r w:rsidR="00B27B91">
              <w:rPr>
                <w:noProof/>
                <w:webHidden/>
              </w:rPr>
              <w:fldChar w:fldCharType="separate"/>
            </w:r>
            <w:r w:rsidR="00E22D4C">
              <w:rPr>
                <w:noProof/>
                <w:webHidden/>
              </w:rPr>
              <w:t>5</w:t>
            </w:r>
            <w:r w:rsidR="00B27B91">
              <w:rPr>
                <w:noProof/>
                <w:webHidden/>
              </w:rPr>
              <w:fldChar w:fldCharType="end"/>
            </w:r>
          </w:hyperlink>
        </w:p>
        <w:p w14:paraId="1AAA0B49" w14:textId="0F3A3C53" w:rsidR="00B27B91" w:rsidRDefault="00000000">
          <w:pPr>
            <w:pStyle w:val="TOC1"/>
            <w:tabs>
              <w:tab w:val="left" w:pos="567"/>
            </w:tabs>
            <w:rPr>
              <w:rFonts w:asciiTheme="minorHAnsi" w:eastAsiaTheme="minorEastAsia" w:hAnsiTheme="minorHAnsi" w:cstheme="minorBidi"/>
              <w:noProof/>
              <w:sz w:val="22"/>
              <w:szCs w:val="22"/>
              <w:lang w:eastAsia="en-GB"/>
            </w:rPr>
          </w:pPr>
          <w:hyperlink w:anchor="_Toc129775428" w:history="1">
            <w:r w:rsidR="00B27B91" w:rsidRPr="006D59F3">
              <w:rPr>
                <w:rStyle w:val="Hyperlink"/>
                <w:noProof/>
              </w:rPr>
              <w:t>1</w:t>
            </w:r>
            <w:r w:rsidR="00B27B91">
              <w:rPr>
                <w:rFonts w:asciiTheme="minorHAnsi" w:eastAsiaTheme="minorEastAsia" w:hAnsiTheme="minorHAnsi" w:cstheme="minorBidi"/>
                <w:noProof/>
                <w:sz w:val="22"/>
                <w:szCs w:val="22"/>
                <w:lang w:eastAsia="en-GB"/>
              </w:rPr>
              <w:tab/>
            </w:r>
            <w:r w:rsidR="00B27B91" w:rsidRPr="006D59F3">
              <w:rPr>
                <w:rStyle w:val="Hyperlink"/>
                <w:noProof/>
              </w:rPr>
              <w:t>Introduction</w:t>
            </w:r>
            <w:r w:rsidR="00B27B91">
              <w:rPr>
                <w:noProof/>
                <w:webHidden/>
              </w:rPr>
              <w:tab/>
            </w:r>
            <w:r w:rsidR="00B27B91">
              <w:rPr>
                <w:noProof/>
                <w:webHidden/>
              </w:rPr>
              <w:fldChar w:fldCharType="begin"/>
            </w:r>
            <w:r w:rsidR="00B27B91">
              <w:rPr>
                <w:noProof/>
                <w:webHidden/>
              </w:rPr>
              <w:instrText xml:space="preserve"> PAGEREF _Toc129775428 \h </w:instrText>
            </w:r>
            <w:r w:rsidR="00B27B91">
              <w:rPr>
                <w:noProof/>
                <w:webHidden/>
              </w:rPr>
            </w:r>
            <w:r w:rsidR="00B27B91">
              <w:rPr>
                <w:noProof/>
                <w:webHidden/>
              </w:rPr>
              <w:fldChar w:fldCharType="separate"/>
            </w:r>
            <w:r w:rsidR="00E22D4C">
              <w:rPr>
                <w:noProof/>
                <w:webHidden/>
              </w:rPr>
              <w:t>7</w:t>
            </w:r>
            <w:r w:rsidR="00B27B91">
              <w:rPr>
                <w:noProof/>
                <w:webHidden/>
              </w:rPr>
              <w:fldChar w:fldCharType="end"/>
            </w:r>
          </w:hyperlink>
        </w:p>
        <w:p w14:paraId="087FC1F2" w14:textId="66F93416" w:rsidR="00B27B91" w:rsidRDefault="00000000">
          <w:pPr>
            <w:pStyle w:val="TOC1"/>
            <w:tabs>
              <w:tab w:val="left" w:pos="567"/>
            </w:tabs>
            <w:rPr>
              <w:rFonts w:asciiTheme="minorHAnsi" w:eastAsiaTheme="minorEastAsia" w:hAnsiTheme="minorHAnsi" w:cstheme="minorBidi"/>
              <w:noProof/>
              <w:sz w:val="22"/>
              <w:szCs w:val="22"/>
              <w:lang w:eastAsia="en-GB"/>
            </w:rPr>
          </w:pPr>
          <w:hyperlink w:anchor="_Toc129775429" w:history="1">
            <w:r w:rsidR="00B27B91" w:rsidRPr="006D59F3">
              <w:rPr>
                <w:rStyle w:val="Hyperlink"/>
                <w:noProof/>
              </w:rPr>
              <w:t>2</w:t>
            </w:r>
            <w:r w:rsidR="00B27B91">
              <w:rPr>
                <w:rFonts w:asciiTheme="minorHAnsi" w:eastAsiaTheme="minorEastAsia" w:hAnsiTheme="minorHAnsi" w:cstheme="minorBidi"/>
                <w:noProof/>
                <w:sz w:val="22"/>
                <w:szCs w:val="22"/>
                <w:lang w:eastAsia="en-GB"/>
              </w:rPr>
              <w:tab/>
            </w:r>
            <w:r w:rsidR="00B27B91" w:rsidRPr="006D59F3">
              <w:rPr>
                <w:rStyle w:val="Hyperlink"/>
                <w:noProof/>
              </w:rPr>
              <w:t>Findings</w:t>
            </w:r>
            <w:r w:rsidR="00B27B91">
              <w:rPr>
                <w:noProof/>
                <w:webHidden/>
              </w:rPr>
              <w:tab/>
            </w:r>
            <w:r w:rsidR="00B27B91">
              <w:rPr>
                <w:noProof/>
                <w:webHidden/>
              </w:rPr>
              <w:fldChar w:fldCharType="begin"/>
            </w:r>
            <w:r w:rsidR="00B27B91">
              <w:rPr>
                <w:noProof/>
                <w:webHidden/>
              </w:rPr>
              <w:instrText xml:space="preserve"> PAGEREF _Toc129775429 \h </w:instrText>
            </w:r>
            <w:r w:rsidR="00B27B91">
              <w:rPr>
                <w:noProof/>
                <w:webHidden/>
              </w:rPr>
            </w:r>
            <w:r w:rsidR="00B27B91">
              <w:rPr>
                <w:noProof/>
                <w:webHidden/>
              </w:rPr>
              <w:fldChar w:fldCharType="separate"/>
            </w:r>
            <w:r w:rsidR="00E22D4C">
              <w:rPr>
                <w:noProof/>
                <w:webHidden/>
              </w:rPr>
              <w:t>8</w:t>
            </w:r>
            <w:r w:rsidR="00B27B91">
              <w:rPr>
                <w:noProof/>
                <w:webHidden/>
              </w:rPr>
              <w:fldChar w:fldCharType="end"/>
            </w:r>
          </w:hyperlink>
        </w:p>
        <w:p w14:paraId="28400CE6" w14:textId="7B3C0C82" w:rsidR="00B27B91" w:rsidRDefault="00000000" w:rsidP="00B27B91">
          <w:pPr>
            <w:pStyle w:val="TOC2"/>
            <w:rPr>
              <w:rFonts w:asciiTheme="minorHAnsi" w:eastAsiaTheme="minorEastAsia" w:hAnsiTheme="minorHAnsi" w:cstheme="minorBidi"/>
              <w:noProof/>
              <w:sz w:val="22"/>
              <w:szCs w:val="22"/>
              <w:lang w:eastAsia="en-GB"/>
            </w:rPr>
          </w:pPr>
          <w:hyperlink w:anchor="_Toc129775430" w:history="1">
            <w:r w:rsidR="00B27B91" w:rsidRPr="006D59F3">
              <w:rPr>
                <w:rStyle w:val="Hyperlink"/>
                <w:noProof/>
              </w:rPr>
              <w:t>2.1</w:t>
            </w:r>
            <w:r w:rsidR="00B27B91">
              <w:rPr>
                <w:rFonts w:asciiTheme="minorHAnsi" w:eastAsiaTheme="minorEastAsia" w:hAnsiTheme="minorHAnsi" w:cstheme="minorBidi"/>
                <w:noProof/>
                <w:sz w:val="22"/>
                <w:szCs w:val="22"/>
                <w:lang w:eastAsia="en-GB"/>
              </w:rPr>
              <w:tab/>
            </w:r>
            <w:r w:rsidR="00B27B91" w:rsidRPr="006D59F3">
              <w:rPr>
                <w:rStyle w:val="Hyperlink"/>
                <w:noProof/>
              </w:rPr>
              <w:t>Service provision and organisation</w:t>
            </w:r>
            <w:r w:rsidR="00B27B91">
              <w:rPr>
                <w:noProof/>
                <w:webHidden/>
              </w:rPr>
              <w:tab/>
            </w:r>
            <w:r w:rsidR="00B27B91">
              <w:rPr>
                <w:noProof/>
                <w:webHidden/>
              </w:rPr>
              <w:fldChar w:fldCharType="begin"/>
            </w:r>
            <w:r w:rsidR="00B27B91">
              <w:rPr>
                <w:noProof/>
                <w:webHidden/>
              </w:rPr>
              <w:instrText xml:space="preserve"> PAGEREF _Toc129775430 \h </w:instrText>
            </w:r>
            <w:r w:rsidR="00B27B91">
              <w:rPr>
                <w:noProof/>
                <w:webHidden/>
              </w:rPr>
            </w:r>
            <w:r w:rsidR="00B27B91">
              <w:rPr>
                <w:noProof/>
                <w:webHidden/>
              </w:rPr>
              <w:fldChar w:fldCharType="separate"/>
            </w:r>
            <w:r w:rsidR="00E22D4C">
              <w:rPr>
                <w:noProof/>
                <w:webHidden/>
              </w:rPr>
              <w:t>8</w:t>
            </w:r>
            <w:r w:rsidR="00B27B91">
              <w:rPr>
                <w:noProof/>
                <w:webHidden/>
              </w:rPr>
              <w:fldChar w:fldCharType="end"/>
            </w:r>
          </w:hyperlink>
        </w:p>
        <w:p w14:paraId="3C3B9EEF" w14:textId="50649452" w:rsidR="00B27B91" w:rsidRDefault="00000000" w:rsidP="00B27B91">
          <w:pPr>
            <w:pStyle w:val="TOC3"/>
            <w:rPr>
              <w:rFonts w:asciiTheme="minorHAnsi" w:eastAsiaTheme="minorEastAsia" w:hAnsiTheme="minorHAnsi" w:cstheme="minorBidi"/>
              <w:noProof/>
              <w:sz w:val="22"/>
              <w:szCs w:val="22"/>
              <w:lang w:eastAsia="en-GB"/>
            </w:rPr>
          </w:pPr>
          <w:hyperlink w:anchor="_Toc129775431" w:history="1">
            <w:r w:rsidR="00B27B91" w:rsidRPr="006D59F3">
              <w:rPr>
                <w:rStyle w:val="Hyperlink"/>
                <w:noProof/>
              </w:rPr>
              <w:t>2.1.1</w:t>
            </w:r>
            <w:r w:rsidR="00B27B91">
              <w:rPr>
                <w:rFonts w:asciiTheme="minorHAnsi" w:eastAsiaTheme="minorEastAsia" w:hAnsiTheme="minorHAnsi" w:cstheme="minorBidi"/>
                <w:noProof/>
                <w:sz w:val="22"/>
                <w:szCs w:val="22"/>
                <w:lang w:eastAsia="en-GB"/>
              </w:rPr>
              <w:tab/>
            </w:r>
            <w:r w:rsidR="00B27B91" w:rsidRPr="006D59F3">
              <w:rPr>
                <w:rStyle w:val="Hyperlink"/>
                <w:noProof/>
              </w:rPr>
              <w:t>Funding arrangement</w:t>
            </w:r>
            <w:r w:rsidR="00B27B91">
              <w:rPr>
                <w:noProof/>
                <w:webHidden/>
              </w:rPr>
              <w:tab/>
            </w:r>
            <w:r w:rsidR="00B27B91">
              <w:rPr>
                <w:noProof/>
                <w:webHidden/>
              </w:rPr>
              <w:fldChar w:fldCharType="begin"/>
            </w:r>
            <w:r w:rsidR="00B27B91">
              <w:rPr>
                <w:noProof/>
                <w:webHidden/>
              </w:rPr>
              <w:instrText xml:space="preserve"> PAGEREF _Toc129775431 \h </w:instrText>
            </w:r>
            <w:r w:rsidR="00B27B91">
              <w:rPr>
                <w:noProof/>
                <w:webHidden/>
              </w:rPr>
            </w:r>
            <w:r w:rsidR="00B27B91">
              <w:rPr>
                <w:noProof/>
                <w:webHidden/>
              </w:rPr>
              <w:fldChar w:fldCharType="separate"/>
            </w:r>
            <w:r w:rsidR="00E22D4C">
              <w:rPr>
                <w:noProof/>
                <w:webHidden/>
              </w:rPr>
              <w:t>8</w:t>
            </w:r>
            <w:r w:rsidR="00B27B91">
              <w:rPr>
                <w:noProof/>
                <w:webHidden/>
              </w:rPr>
              <w:fldChar w:fldCharType="end"/>
            </w:r>
          </w:hyperlink>
        </w:p>
        <w:p w14:paraId="564D0652" w14:textId="7975CB83" w:rsidR="00B27B91" w:rsidRDefault="00000000" w:rsidP="00B27B91">
          <w:pPr>
            <w:pStyle w:val="TOC3"/>
            <w:rPr>
              <w:rFonts w:asciiTheme="minorHAnsi" w:eastAsiaTheme="minorEastAsia" w:hAnsiTheme="minorHAnsi" w:cstheme="minorBidi"/>
              <w:noProof/>
              <w:sz w:val="22"/>
              <w:szCs w:val="22"/>
              <w:lang w:eastAsia="en-GB"/>
            </w:rPr>
          </w:pPr>
          <w:hyperlink w:anchor="_Toc129775432" w:history="1">
            <w:r w:rsidR="00B27B91" w:rsidRPr="006D59F3">
              <w:rPr>
                <w:rStyle w:val="Hyperlink"/>
                <w:noProof/>
              </w:rPr>
              <w:t>2.1.2</w:t>
            </w:r>
            <w:r w:rsidR="00B27B91">
              <w:rPr>
                <w:rFonts w:asciiTheme="minorHAnsi" w:eastAsiaTheme="minorEastAsia" w:hAnsiTheme="minorHAnsi" w:cstheme="minorBidi"/>
                <w:noProof/>
                <w:sz w:val="22"/>
                <w:szCs w:val="22"/>
                <w:lang w:eastAsia="en-GB"/>
              </w:rPr>
              <w:tab/>
            </w:r>
            <w:r w:rsidR="00B27B91" w:rsidRPr="006D59F3">
              <w:rPr>
                <w:rStyle w:val="Hyperlink"/>
                <w:noProof/>
              </w:rPr>
              <w:t>Changes to provision</w:t>
            </w:r>
            <w:r w:rsidR="00B27B91">
              <w:rPr>
                <w:noProof/>
                <w:webHidden/>
              </w:rPr>
              <w:tab/>
            </w:r>
            <w:r w:rsidR="00B27B91">
              <w:rPr>
                <w:noProof/>
                <w:webHidden/>
              </w:rPr>
              <w:fldChar w:fldCharType="begin"/>
            </w:r>
            <w:r w:rsidR="00B27B91">
              <w:rPr>
                <w:noProof/>
                <w:webHidden/>
              </w:rPr>
              <w:instrText xml:space="preserve"> PAGEREF _Toc129775432 \h </w:instrText>
            </w:r>
            <w:r w:rsidR="00B27B91">
              <w:rPr>
                <w:noProof/>
                <w:webHidden/>
              </w:rPr>
            </w:r>
            <w:r w:rsidR="00B27B91">
              <w:rPr>
                <w:noProof/>
                <w:webHidden/>
              </w:rPr>
              <w:fldChar w:fldCharType="separate"/>
            </w:r>
            <w:r w:rsidR="00E22D4C">
              <w:rPr>
                <w:noProof/>
                <w:webHidden/>
              </w:rPr>
              <w:t>8</w:t>
            </w:r>
            <w:r w:rsidR="00B27B91">
              <w:rPr>
                <w:noProof/>
                <w:webHidden/>
              </w:rPr>
              <w:fldChar w:fldCharType="end"/>
            </w:r>
          </w:hyperlink>
        </w:p>
        <w:p w14:paraId="63F86D46" w14:textId="16C5C364" w:rsidR="00B27B91" w:rsidRDefault="00000000" w:rsidP="00B27B91">
          <w:pPr>
            <w:pStyle w:val="TOC3"/>
            <w:rPr>
              <w:rFonts w:asciiTheme="minorHAnsi" w:eastAsiaTheme="minorEastAsia" w:hAnsiTheme="minorHAnsi" w:cstheme="minorBidi"/>
              <w:noProof/>
              <w:sz w:val="22"/>
              <w:szCs w:val="22"/>
              <w:lang w:eastAsia="en-GB"/>
            </w:rPr>
          </w:pPr>
          <w:hyperlink w:anchor="_Toc129775433" w:history="1">
            <w:r w:rsidR="00B27B91" w:rsidRPr="006D59F3">
              <w:rPr>
                <w:rStyle w:val="Hyperlink"/>
                <w:noProof/>
              </w:rPr>
              <w:t>2.1.3</w:t>
            </w:r>
            <w:r w:rsidR="00B27B91">
              <w:rPr>
                <w:rFonts w:asciiTheme="minorHAnsi" w:eastAsiaTheme="minorEastAsia" w:hAnsiTheme="minorHAnsi" w:cstheme="minorBidi"/>
                <w:noProof/>
                <w:sz w:val="22"/>
                <w:szCs w:val="22"/>
                <w:lang w:eastAsia="en-GB"/>
              </w:rPr>
              <w:tab/>
            </w:r>
            <w:r w:rsidR="00B27B91" w:rsidRPr="006D59F3">
              <w:rPr>
                <w:rStyle w:val="Hyperlink"/>
                <w:noProof/>
              </w:rPr>
              <w:t>Proposed changes to provision</w:t>
            </w:r>
            <w:r w:rsidR="00B27B91">
              <w:rPr>
                <w:noProof/>
                <w:webHidden/>
              </w:rPr>
              <w:tab/>
            </w:r>
            <w:r w:rsidR="00B27B91">
              <w:rPr>
                <w:noProof/>
                <w:webHidden/>
              </w:rPr>
              <w:fldChar w:fldCharType="begin"/>
            </w:r>
            <w:r w:rsidR="00B27B91">
              <w:rPr>
                <w:noProof/>
                <w:webHidden/>
              </w:rPr>
              <w:instrText xml:space="preserve"> PAGEREF _Toc129775433 \h </w:instrText>
            </w:r>
            <w:r w:rsidR="00B27B91">
              <w:rPr>
                <w:noProof/>
                <w:webHidden/>
              </w:rPr>
            </w:r>
            <w:r w:rsidR="00B27B91">
              <w:rPr>
                <w:noProof/>
                <w:webHidden/>
              </w:rPr>
              <w:fldChar w:fldCharType="separate"/>
            </w:r>
            <w:r w:rsidR="00E22D4C">
              <w:rPr>
                <w:noProof/>
                <w:webHidden/>
              </w:rPr>
              <w:t>10</w:t>
            </w:r>
            <w:r w:rsidR="00B27B91">
              <w:rPr>
                <w:noProof/>
                <w:webHidden/>
              </w:rPr>
              <w:fldChar w:fldCharType="end"/>
            </w:r>
          </w:hyperlink>
        </w:p>
        <w:p w14:paraId="4C850F70" w14:textId="70827238" w:rsidR="00B27B91" w:rsidRDefault="00000000" w:rsidP="00B27B91">
          <w:pPr>
            <w:pStyle w:val="TOC2"/>
            <w:rPr>
              <w:rFonts w:asciiTheme="minorHAnsi" w:eastAsiaTheme="minorEastAsia" w:hAnsiTheme="minorHAnsi" w:cstheme="minorBidi"/>
              <w:noProof/>
              <w:sz w:val="22"/>
              <w:szCs w:val="22"/>
              <w:lang w:eastAsia="en-GB"/>
            </w:rPr>
          </w:pPr>
          <w:hyperlink w:anchor="_Toc129775434" w:history="1">
            <w:r w:rsidR="00B27B91" w:rsidRPr="006D59F3">
              <w:rPr>
                <w:rStyle w:val="Hyperlink"/>
                <w:noProof/>
                <w:lang w:eastAsia="en-GB"/>
              </w:rPr>
              <w:t>2.2</w:t>
            </w:r>
            <w:r w:rsidR="00B27B91">
              <w:rPr>
                <w:rFonts w:asciiTheme="minorHAnsi" w:eastAsiaTheme="minorEastAsia" w:hAnsiTheme="minorHAnsi" w:cstheme="minorBidi"/>
                <w:noProof/>
                <w:sz w:val="22"/>
                <w:szCs w:val="22"/>
                <w:lang w:eastAsia="en-GB"/>
              </w:rPr>
              <w:tab/>
            </w:r>
            <w:r w:rsidR="00B27B91" w:rsidRPr="006D59F3">
              <w:rPr>
                <w:rStyle w:val="Hyperlink"/>
                <w:noProof/>
                <w:lang w:eastAsia="en-GB"/>
              </w:rPr>
              <w:t>Budget</w:t>
            </w:r>
            <w:r w:rsidR="00B27B91">
              <w:rPr>
                <w:noProof/>
                <w:webHidden/>
              </w:rPr>
              <w:tab/>
            </w:r>
            <w:r w:rsidR="00B27B91">
              <w:rPr>
                <w:noProof/>
                <w:webHidden/>
              </w:rPr>
              <w:fldChar w:fldCharType="begin"/>
            </w:r>
            <w:r w:rsidR="00B27B91">
              <w:rPr>
                <w:noProof/>
                <w:webHidden/>
              </w:rPr>
              <w:instrText xml:space="preserve"> PAGEREF _Toc129775434 \h </w:instrText>
            </w:r>
            <w:r w:rsidR="00B27B91">
              <w:rPr>
                <w:noProof/>
                <w:webHidden/>
              </w:rPr>
            </w:r>
            <w:r w:rsidR="00B27B91">
              <w:rPr>
                <w:noProof/>
                <w:webHidden/>
              </w:rPr>
              <w:fldChar w:fldCharType="separate"/>
            </w:r>
            <w:r w:rsidR="00E22D4C">
              <w:rPr>
                <w:noProof/>
                <w:webHidden/>
              </w:rPr>
              <w:t>10</w:t>
            </w:r>
            <w:r w:rsidR="00B27B91">
              <w:rPr>
                <w:noProof/>
                <w:webHidden/>
              </w:rPr>
              <w:fldChar w:fldCharType="end"/>
            </w:r>
          </w:hyperlink>
        </w:p>
        <w:p w14:paraId="27AE22F1" w14:textId="501590E3" w:rsidR="00B27B91" w:rsidRDefault="00000000" w:rsidP="00B27B91">
          <w:pPr>
            <w:pStyle w:val="TOC3"/>
            <w:rPr>
              <w:rFonts w:asciiTheme="minorHAnsi" w:eastAsiaTheme="minorEastAsia" w:hAnsiTheme="minorHAnsi" w:cstheme="minorBidi"/>
              <w:noProof/>
              <w:sz w:val="22"/>
              <w:szCs w:val="22"/>
              <w:lang w:eastAsia="en-GB"/>
            </w:rPr>
          </w:pPr>
          <w:hyperlink w:anchor="_Toc129775435" w:history="1">
            <w:r w:rsidR="00B27B91" w:rsidRPr="006D59F3">
              <w:rPr>
                <w:rStyle w:val="Hyperlink"/>
                <w:noProof/>
              </w:rPr>
              <w:t>2.2.1</w:t>
            </w:r>
            <w:r w:rsidR="00B27B91">
              <w:rPr>
                <w:rFonts w:asciiTheme="minorHAnsi" w:eastAsiaTheme="minorEastAsia" w:hAnsiTheme="minorHAnsi" w:cstheme="minorBidi"/>
                <w:noProof/>
                <w:sz w:val="22"/>
                <w:szCs w:val="22"/>
                <w:lang w:eastAsia="en-GB"/>
              </w:rPr>
              <w:tab/>
            </w:r>
            <w:r w:rsidR="00B27B91" w:rsidRPr="006D59F3">
              <w:rPr>
                <w:rStyle w:val="Hyperlink"/>
                <w:noProof/>
              </w:rPr>
              <w:t>Short term funding trends</w:t>
            </w:r>
            <w:r w:rsidR="00B27B91">
              <w:rPr>
                <w:noProof/>
                <w:webHidden/>
              </w:rPr>
              <w:tab/>
            </w:r>
            <w:r w:rsidR="00B27B91">
              <w:rPr>
                <w:noProof/>
                <w:webHidden/>
              </w:rPr>
              <w:fldChar w:fldCharType="begin"/>
            </w:r>
            <w:r w:rsidR="00B27B91">
              <w:rPr>
                <w:noProof/>
                <w:webHidden/>
              </w:rPr>
              <w:instrText xml:space="preserve"> PAGEREF _Toc129775435 \h </w:instrText>
            </w:r>
            <w:r w:rsidR="00B27B91">
              <w:rPr>
                <w:noProof/>
                <w:webHidden/>
              </w:rPr>
            </w:r>
            <w:r w:rsidR="00B27B91">
              <w:rPr>
                <w:noProof/>
                <w:webHidden/>
              </w:rPr>
              <w:fldChar w:fldCharType="separate"/>
            </w:r>
            <w:r w:rsidR="00E22D4C">
              <w:rPr>
                <w:noProof/>
                <w:webHidden/>
              </w:rPr>
              <w:t>10</w:t>
            </w:r>
            <w:r w:rsidR="00B27B91">
              <w:rPr>
                <w:noProof/>
                <w:webHidden/>
              </w:rPr>
              <w:fldChar w:fldCharType="end"/>
            </w:r>
          </w:hyperlink>
        </w:p>
        <w:p w14:paraId="5E7F3690" w14:textId="2BCFDDD4" w:rsidR="00B27B91" w:rsidRDefault="00000000" w:rsidP="00B27B91">
          <w:pPr>
            <w:pStyle w:val="TOC3"/>
            <w:rPr>
              <w:rFonts w:asciiTheme="minorHAnsi" w:eastAsiaTheme="minorEastAsia" w:hAnsiTheme="minorHAnsi" w:cstheme="minorBidi"/>
              <w:noProof/>
              <w:sz w:val="22"/>
              <w:szCs w:val="22"/>
              <w:lang w:eastAsia="en-GB"/>
            </w:rPr>
          </w:pPr>
          <w:hyperlink w:anchor="_Toc129775436" w:history="1">
            <w:r w:rsidR="00B27B91" w:rsidRPr="006D59F3">
              <w:rPr>
                <w:rStyle w:val="Hyperlink"/>
                <w:noProof/>
              </w:rPr>
              <w:t>2.2.2</w:t>
            </w:r>
            <w:r w:rsidR="00B27B91">
              <w:rPr>
                <w:rFonts w:asciiTheme="minorHAnsi" w:eastAsiaTheme="minorEastAsia" w:hAnsiTheme="minorHAnsi" w:cstheme="minorBidi"/>
                <w:noProof/>
                <w:sz w:val="22"/>
                <w:szCs w:val="22"/>
                <w:lang w:eastAsia="en-GB"/>
              </w:rPr>
              <w:tab/>
            </w:r>
            <w:r w:rsidR="00B27B91" w:rsidRPr="006D59F3">
              <w:rPr>
                <w:rStyle w:val="Hyperlink"/>
                <w:noProof/>
              </w:rPr>
              <w:t>Long term funding trends</w:t>
            </w:r>
            <w:r w:rsidR="00B27B91">
              <w:rPr>
                <w:noProof/>
                <w:webHidden/>
              </w:rPr>
              <w:tab/>
            </w:r>
            <w:r w:rsidR="00B27B91">
              <w:rPr>
                <w:noProof/>
                <w:webHidden/>
              </w:rPr>
              <w:fldChar w:fldCharType="begin"/>
            </w:r>
            <w:r w:rsidR="00B27B91">
              <w:rPr>
                <w:noProof/>
                <w:webHidden/>
              </w:rPr>
              <w:instrText xml:space="preserve"> PAGEREF _Toc129775436 \h </w:instrText>
            </w:r>
            <w:r w:rsidR="00B27B91">
              <w:rPr>
                <w:noProof/>
                <w:webHidden/>
              </w:rPr>
            </w:r>
            <w:r w:rsidR="00B27B91">
              <w:rPr>
                <w:noProof/>
                <w:webHidden/>
              </w:rPr>
              <w:fldChar w:fldCharType="separate"/>
            </w:r>
            <w:r w:rsidR="00E22D4C">
              <w:rPr>
                <w:noProof/>
                <w:webHidden/>
              </w:rPr>
              <w:t>11</w:t>
            </w:r>
            <w:r w:rsidR="00B27B91">
              <w:rPr>
                <w:noProof/>
                <w:webHidden/>
              </w:rPr>
              <w:fldChar w:fldCharType="end"/>
            </w:r>
          </w:hyperlink>
        </w:p>
        <w:p w14:paraId="515D294C" w14:textId="582EF9FF" w:rsidR="00B27B91" w:rsidRDefault="00000000" w:rsidP="00B27B91">
          <w:pPr>
            <w:pStyle w:val="TOC3"/>
            <w:rPr>
              <w:rFonts w:asciiTheme="minorHAnsi" w:eastAsiaTheme="minorEastAsia" w:hAnsiTheme="minorHAnsi" w:cstheme="minorBidi"/>
              <w:noProof/>
              <w:sz w:val="22"/>
              <w:szCs w:val="22"/>
              <w:lang w:eastAsia="en-GB"/>
            </w:rPr>
          </w:pPr>
          <w:hyperlink w:anchor="_Toc129775437" w:history="1">
            <w:r w:rsidR="00B27B91" w:rsidRPr="006D59F3">
              <w:rPr>
                <w:rStyle w:val="Hyperlink"/>
                <w:noProof/>
              </w:rPr>
              <w:t>2.2.3</w:t>
            </w:r>
            <w:r w:rsidR="00B27B91">
              <w:rPr>
                <w:rFonts w:asciiTheme="minorHAnsi" w:eastAsiaTheme="minorEastAsia" w:hAnsiTheme="minorHAnsi" w:cstheme="minorBidi"/>
                <w:noProof/>
                <w:sz w:val="22"/>
                <w:szCs w:val="22"/>
                <w:lang w:eastAsia="en-GB"/>
              </w:rPr>
              <w:tab/>
            </w:r>
            <w:r w:rsidR="00B27B91" w:rsidRPr="006D59F3">
              <w:rPr>
                <w:rStyle w:val="Hyperlink"/>
                <w:noProof/>
              </w:rPr>
              <w:t>Impact on support to CYP</w:t>
            </w:r>
            <w:r w:rsidR="00B27B91">
              <w:rPr>
                <w:noProof/>
                <w:webHidden/>
              </w:rPr>
              <w:tab/>
            </w:r>
            <w:r w:rsidR="00B27B91">
              <w:rPr>
                <w:noProof/>
                <w:webHidden/>
              </w:rPr>
              <w:fldChar w:fldCharType="begin"/>
            </w:r>
            <w:r w:rsidR="00B27B91">
              <w:rPr>
                <w:noProof/>
                <w:webHidden/>
              </w:rPr>
              <w:instrText xml:space="preserve"> PAGEREF _Toc129775437 \h </w:instrText>
            </w:r>
            <w:r w:rsidR="00B27B91">
              <w:rPr>
                <w:noProof/>
                <w:webHidden/>
              </w:rPr>
            </w:r>
            <w:r w:rsidR="00B27B91">
              <w:rPr>
                <w:noProof/>
                <w:webHidden/>
              </w:rPr>
              <w:fldChar w:fldCharType="separate"/>
            </w:r>
            <w:r w:rsidR="00E22D4C">
              <w:rPr>
                <w:noProof/>
                <w:webHidden/>
              </w:rPr>
              <w:t>11</w:t>
            </w:r>
            <w:r w:rsidR="00B27B91">
              <w:rPr>
                <w:noProof/>
                <w:webHidden/>
              </w:rPr>
              <w:fldChar w:fldCharType="end"/>
            </w:r>
          </w:hyperlink>
        </w:p>
        <w:p w14:paraId="7E063387" w14:textId="4726586D" w:rsidR="00B27B91" w:rsidRDefault="00000000" w:rsidP="00B27B91">
          <w:pPr>
            <w:pStyle w:val="TOC3"/>
            <w:rPr>
              <w:rFonts w:asciiTheme="minorHAnsi" w:eastAsiaTheme="minorEastAsia" w:hAnsiTheme="minorHAnsi" w:cstheme="minorBidi"/>
              <w:noProof/>
              <w:sz w:val="22"/>
              <w:szCs w:val="22"/>
              <w:lang w:eastAsia="en-GB"/>
            </w:rPr>
          </w:pPr>
          <w:hyperlink w:anchor="_Toc129775438" w:history="1">
            <w:r w:rsidR="00B27B91" w:rsidRPr="006D59F3">
              <w:rPr>
                <w:rStyle w:val="Hyperlink"/>
                <w:noProof/>
              </w:rPr>
              <w:t>2.2.4</w:t>
            </w:r>
            <w:r w:rsidR="00B27B91">
              <w:rPr>
                <w:rFonts w:asciiTheme="minorHAnsi" w:eastAsiaTheme="minorEastAsia" w:hAnsiTheme="minorHAnsi" w:cstheme="minorBidi"/>
                <w:noProof/>
                <w:sz w:val="22"/>
                <w:szCs w:val="22"/>
                <w:lang w:eastAsia="en-GB"/>
              </w:rPr>
              <w:tab/>
            </w:r>
            <w:r w:rsidR="00B27B91" w:rsidRPr="006D59F3">
              <w:rPr>
                <w:rStyle w:val="Hyperlink"/>
                <w:noProof/>
              </w:rPr>
              <w:t>Regional trends</w:t>
            </w:r>
            <w:r w:rsidR="00B27B91">
              <w:rPr>
                <w:noProof/>
                <w:webHidden/>
              </w:rPr>
              <w:tab/>
            </w:r>
            <w:r w:rsidR="00B27B91">
              <w:rPr>
                <w:noProof/>
                <w:webHidden/>
              </w:rPr>
              <w:fldChar w:fldCharType="begin"/>
            </w:r>
            <w:r w:rsidR="00B27B91">
              <w:rPr>
                <w:noProof/>
                <w:webHidden/>
              </w:rPr>
              <w:instrText xml:space="preserve"> PAGEREF _Toc129775438 \h </w:instrText>
            </w:r>
            <w:r w:rsidR="00B27B91">
              <w:rPr>
                <w:noProof/>
                <w:webHidden/>
              </w:rPr>
            </w:r>
            <w:r w:rsidR="00B27B91">
              <w:rPr>
                <w:noProof/>
                <w:webHidden/>
              </w:rPr>
              <w:fldChar w:fldCharType="separate"/>
            </w:r>
            <w:r w:rsidR="00E22D4C">
              <w:rPr>
                <w:noProof/>
                <w:webHidden/>
              </w:rPr>
              <w:t>11</w:t>
            </w:r>
            <w:r w:rsidR="00B27B91">
              <w:rPr>
                <w:noProof/>
                <w:webHidden/>
              </w:rPr>
              <w:fldChar w:fldCharType="end"/>
            </w:r>
          </w:hyperlink>
        </w:p>
        <w:p w14:paraId="4EF3C9F6" w14:textId="1DB0A644" w:rsidR="00B27B91" w:rsidRDefault="00000000" w:rsidP="00B27B91">
          <w:pPr>
            <w:pStyle w:val="TOC2"/>
            <w:rPr>
              <w:rFonts w:asciiTheme="minorHAnsi" w:eastAsiaTheme="minorEastAsia" w:hAnsiTheme="minorHAnsi" w:cstheme="minorBidi"/>
              <w:noProof/>
              <w:sz w:val="22"/>
              <w:szCs w:val="22"/>
              <w:lang w:eastAsia="en-GB"/>
            </w:rPr>
          </w:pPr>
          <w:hyperlink w:anchor="_Toc129775439" w:history="1">
            <w:r w:rsidR="00B27B91" w:rsidRPr="006D59F3">
              <w:rPr>
                <w:rStyle w:val="Hyperlink"/>
                <w:noProof/>
                <w:lang w:eastAsia="en-GB"/>
              </w:rPr>
              <w:t>2.3</w:t>
            </w:r>
            <w:r w:rsidR="00B27B91">
              <w:rPr>
                <w:rFonts w:asciiTheme="minorHAnsi" w:eastAsiaTheme="minorEastAsia" w:hAnsiTheme="minorHAnsi" w:cstheme="minorBidi"/>
                <w:noProof/>
                <w:sz w:val="22"/>
                <w:szCs w:val="22"/>
                <w:lang w:eastAsia="en-GB"/>
              </w:rPr>
              <w:tab/>
            </w:r>
            <w:r w:rsidR="00B27B91" w:rsidRPr="006D59F3">
              <w:rPr>
                <w:rStyle w:val="Hyperlink"/>
                <w:noProof/>
                <w:lang w:eastAsia="en-GB"/>
              </w:rPr>
              <w:t>Children and young people supported by the service</w:t>
            </w:r>
            <w:r w:rsidR="00B27B91">
              <w:rPr>
                <w:noProof/>
                <w:webHidden/>
              </w:rPr>
              <w:tab/>
            </w:r>
            <w:r w:rsidR="00B27B91">
              <w:rPr>
                <w:noProof/>
                <w:webHidden/>
              </w:rPr>
              <w:fldChar w:fldCharType="begin"/>
            </w:r>
            <w:r w:rsidR="00B27B91">
              <w:rPr>
                <w:noProof/>
                <w:webHidden/>
              </w:rPr>
              <w:instrText xml:space="preserve"> PAGEREF _Toc129775439 \h </w:instrText>
            </w:r>
            <w:r w:rsidR="00B27B91">
              <w:rPr>
                <w:noProof/>
                <w:webHidden/>
              </w:rPr>
            </w:r>
            <w:r w:rsidR="00B27B91">
              <w:rPr>
                <w:noProof/>
                <w:webHidden/>
              </w:rPr>
              <w:fldChar w:fldCharType="separate"/>
            </w:r>
            <w:r w:rsidR="00E22D4C">
              <w:rPr>
                <w:noProof/>
                <w:webHidden/>
              </w:rPr>
              <w:t>12</w:t>
            </w:r>
            <w:r w:rsidR="00B27B91">
              <w:rPr>
                <w:noProof/>
                <w:webHidden/>
              </w:rPr>
              <w:fldChar w:fldCharType="end"/>
            </w:r>
          </w:hyperlink>
        </w:p>
        <w:p w14:paraId="7997CF62" w14:textId="70BE4F5E" w:rsidR="00B27B91" w:rsidRDefault="00000000" w:rsidP="00B27B91">
          <w:pPr>
            <w:pStyle w:val="TOC3"/>
            <w:rPr>
              <w:rFonts w:asciiTheme="minorHAnsi" w:eastAsiaTheme="minorEastAsia" w:hAnsiTheme="minorHAnsi" w:cstheme="minorBidi"/>
              <w:noProof/>
              <w:sz w:val="22"/>
              <w:szCs w:val="22"/>
              <w:lang w:eastAsia="en-GB"/>
            </w:rPr>
          </w:pPr>
          <w:hyperlink w:anchor="_Toc129775440" w:history="1">
            <w:r w:rsidR="00B27B91" w:rsidRPr="006D59F3">
              <w:rPr>
                <w:rStyle w:val="Hyperlink"/>
                <w:noProof/>
              </w:rPr>
              <w:t>2.3.1</w:t>
            </w:r>
            <w:r w:rsidR="00B27B91">
              <w:rPr>
                <w:rFonts w:asciiTheme="minorHAnsi" w:eastAsiaTheme="minorEastAsia" w:hAnsiTheme="minorHAnsi" w:cstheme="minorBidi"/>
                <w:noProof/>
                <w:sz w:val="22"/>
                <w:szCs w:val="22"/>
                <w:lang w:eastAsia="en-GB"/>
              </w:rPr>
              <w:tab/>
            </w:r>
            <w:r w:rsidR="00B27B91" w:rsidRPr="006D59F3">
              <w:rPr>
                <w:rStyle w:val="Hyperlink"/>
                <w:noProof/>
              </w:rPr>
              <w:t>Caseload</w:t>
            </w:r>
            <w:r w:rsidR="00B27B91">
              <w:rPr>
                <w:noProof/>
                <w:webHidden/>
              </w:rPr>
              <w:tab/>
            </w:r>
            <w:r w:rsidR="00B27B91">
              <w:rPr>
                <w:noProof/>
                <w:webHidden/>
              </w:rPr>
              <w:fldChar w:fldCharType="begin"/>
            </w:r>
            <w:r w:rsidR="00B27B91">
              <w:rPr>
                <w:noProof/>
                <w:webHidden/>
              </w:rPr>
              <w:instrText xml:space="preserve"> PAGEREF _Toc129775440 \h </w:instrText>
            </w:r>
            <w:r w:rsidR="00B27B91">
              <w:rPr>
                <w:noProof/>
                <w:webHidden/>
              </w:rPr>
            </w:r>
            <w:r w:rsidR="00B27B91">
              <w:rPr>
                <w:noProof/>
                <w:webHidden/>
              </w:rPr>
              <w:fldChar w:fldCharType="separate"/>
            </w:r>
            <w:r w:rsidR="00E22D4C">
              <w:rPr>
                <w:noProof/>
                <w:webHidden/>
              </w:rPr>
              <w:t>12</w:t>
            </w:r>
            <w:r w:rsidR="00B27B91">
              <w:rPr>
                <w:noProof/>
                <w:webHidden/>
              </w:rPr>
              <w:fldChar w:fldCharType="end"/>
            </w:r>
          </w:hyperlink>
        </w:p>
        <w:p w14:paraId="4FFBEDD1" w14:textId="6BC9E358" w:rsidR="00B27B91" w:rsidRDefault="00000000" w:rsidP="00B27B91">
          <w:pPr>
            <w:pStyle w:val="TOC3"/>
            <w:rPr>
              <w:rFonts w:asciiTheme="minorHAnsi" w:eastAsiaTheme="minorEastAsia" w:hAnsiTheme="minorHAnsi" w:cstheme="minorBidi"/>
              <w:noProof/>
              <w:sz w:val="22"/>
              <w:szCs w:val="22"/>
              <w:lang w:eastAsia="en-GB"/>
            </w:rPr>
          </w:pPr>
          <w:hyperlink w:anchor="_Toc129775441" w:history="1">
            <w:r w:rsidR="00B27B91" w:rsidRPr="006D59F3">
              <w:rPr>
                <w:rStyle w:val="Hyperlink"/>
                <w:noProof/>
              </w:rPr>
              <w:t>2.3.2</w:t>
            </w:r>
            <w:r w:rsidR="00B27B91">
              <w:rPr>
                <w:rFonts w:asciiTheme="minorHAnsi" w:eastAsiaTheme="minorEastAsia" w:hAnsiTheme="minorHAnsi" w:cstheme="minorBidi"/>
                <w:noProof/>
                <w:sz w:val="22"/>
                <w:szCs w:val="22"/>
                <w:lang w:eastAsia="en-GB"/>
              </w:rPr>
              <w:tab/>
            </w:r>
            <w:r w:rsidR="00B27B91" w:rsidRPr="006D59F3">
              <w:rPr>
                <w:rStyle w:val="Hyperlink"/>
                <w:noProof/>
              </w:rPr>
              <w:t>Braille users</w:t>
            </w:r>
            <w:r w:rsidR="00B27B91">
              <w:rPr>
                <w:noProof/>
                <w:webHidden/>
              </w:rPr>
              <w:tab/>
            </w:r>
            <w:r w:rsidR="00B27B91">
              <w:rPr>
                <w:noProof/>
                <w:webHidden/>
              </w:rPr>
              <w:fldChar w:fldCharType="begin"/>
            </w:r>
            <w:r w:rsidR="00B27B91">
              <w:rPr>
                <w:noProof/>
                <w:webHidden/>
              </w:rPr>
              <w:instrText xml:space="preserve"> PAGEREF _Toc129775441 \h </w:instrText>
            </w:r>
            <w:r w:rsidR="00B27B91">
              <w:rPr>
                <w:noProof/>
                <w:webHidden/>
              </w:rPr>
            </w:r>
            <w:r w:rsidR="00B27B91">
              <w:rPr>
                <w:noProof/>
                <w:webHidden/>
              </w:rPr>
              <w:fldChar w:fldCharType="separate"/>
            </w:r>
            <w:r w:rsidR="00E22D4C">
              <w:rPr>
                <w:noProof/>
                <w:webHidden/>
              </w:rPr>
              <w:t>13</w:t>
            </w:r>
            <w:r w:rsidR="00B27B91">
              <w:rPr>
                <w:noProof/>
                <w:webHidden/>
              </w:rPr>
              <w:fldChar w:fldCharType="end"/>
            </w:r>
          </w:hyperlink>
        </w:p>
        <w:p w14:paraId="0EDF57A6" w14:textId="60E83F48" w:rsidR="00B27B91" w:rsidRDefault="00000000" w:rsidP="00B27B91">
          <w:pPr>
            <w:pStyle w:val="TOC3"/>
            <w:rPr>
              <w:rFonts w:asciiTheme="minorHAnsi" w:eastAsiaTheme="minorEastAsia" w:hAnsiTheme="minorHAnsi" w:cstheme="minorBidi"/>
              <w:noProof/>
              <w:sz w:val="22"/>
              <w:szCs w:val="22"/>
              <w:lang w:eastAsia="en-GB"/>
            </w:rPr>
          </w:pPr>
          <w:hyperlink w:anchor="_Toc129775442" w:history="1">
            <w:r w:rsidR="00B27B91" w:rsidRPr="006D59F3">
              <w:rPr>
                <w:rStyle w:val="Hyperlink"/>
                <w:noProof/>
              </w:rPr>
              <w:t>2.3.3</w:t>
            </w:r>
            <w:r w:rsidR="00B27B91">
              <w:rPr>
                <w:rFonts w:asciiTheme="minorHAnsi" w:eastAsiaTheme="minorEastAsia" w:hAnsiTheme="minorHAnsi" w:cstheme="minorBidi"/>
                <w:noProof/>
                <w:sz w:val="22"/>
                <w:szCs w:val="22"/>
                <w:lang w:eastAsia="en-GB"/>
              </w:rPr>
              <w:tab/>
            </w:r>
            <w:r w:rsidR="00B27B91" w:rsidRPr="006D59F3">
              <w:rPr>
                <w:rStyle w:val="Hyperlink"/>
                <w:noProof/>
              </w:rPr>
              <w:t>Register of blind and partially sighted people</w:t>
            </w:r>
            <w:r w:rsidR="00B27B91">
              <w:rPr>
                <w:noProof/>
                <w:webHidden/>
              </w:rPr>
              <w:tab/>
            </w:r>
            <w:r w:rsidR="00B27B91">
              <w:rPr>
                <w:noProof/>
                <w:webHidden/>
              </w:rPr>
              <w:fldChar w:fldCharType="begin"/>
            </w:r>
            <w:r w:rsidR="00B27B91">
              <w:rPr>
                <w:noProof/>
                <w:webHidden/>
              </w:rPr>
              <w:instrText xml:space="preserve"> PAGEREF _Toc129775442 \h </w:instrText>
            </w:r>
            <w:r w:rsidR="00B27B91">
              <w:rPr>
                <w:noProof/>
                <w:webHidden/>
              </w:rPr>
            </w:r>
            <w:r w:rsidR="00B27B91">
              <w:rPr>
                <w:noProof/>
                <w:webHidden/>
              </w:rPr>
              <w:fldChar w:fldCharType="separate"/>
            </w:r>
            <w:r w:rsidR="00E22D4C">
              <w:rPr>
                <w:noProof/>
                <w:webHidden/>
              </w:rPr>
              <w:t>13</w:t>
            </w:r>
            <w:r w:rsidR="00B27B91">
              <w:rPr>
                <w:noProof/>
                <w:webHidden/>
              </w:rPr>
              <w:fldChar w:fldCharType="end"/>
            </w:r>
          </w:hyperlink>
        </w:p>
        <w:p w14:paraId="29324449" w14:textId="032552D2" w:rsidR="00B27B91" w:rsidRDefault="00000000" w:rsidP="00B27B91">
          <w:pPr>
            <w:pStyle w:val="TOC3"/>
            <w:rPr>
              <w:rFonts w:asciiTheme="minorHAnsi" w:eastAsiaTheme="minorEastAsia" w:hAnsiTheme="minorHAnsi" w:cstheme="minorBidi"/>
              <w:noProof/>
              <w:sz w:val="22"/>
              <w:szCs w:val="22"/>
              <w:lang w:eastAsia="en-GB"/>
            </w:rPr>
          </w:pPr>
          <w:hyperlink w:anchor="_Toc129775443" w:history="1">
            <w:r w:rsidR="00B27B91" w:rsidRPr="006D59F3">
              <w:rPr>
                <w:rStyle w:val="Hyperlink"/>
                <w:noProof/>
              </w:rPr>
              <w:t>2.3.4</w:t>
            </w:r>
            <w:r w:rsidR="00B27B91">
              <w:rPr>
                <w:rFonts w:asciiTheme="minorHAnsi" w:eastAsiaTheme="minorEastAsia" w:hAnsiTheme="minorHAnsi" w:cstheme="minorBidi"/>
                <w:noProof/>
                <w:sz w:val="22"/>
                <w:szCs w:val="22"/>
                <w:lang w:eastAsia="en-GB"/>
              </w:rPr>
              <w:tab/>
            </w:r>
            <w:r w:rsidR="00B27B91" w:rsidRPr="006D59F3">
              <w:rPr>
                <w:rStyle w:val="Hyperlink"/>
                <w:noProof/>
              </w:rPr>
              <w:t xml:space="preserve">Criteria for support levels and eligibility for EHCP </w:t>
            </w:r>
            <w:r w:rsidR="00B27B91">
              <w:rPr>
                <w:rStyle w:val="Hyperlink"/>
                <w:noProof/>
              </w:rPr>
              <w:t xml:space="preserve">  </w:t>
            </w:r>
            <w:r w:rsidR="00B27B91" w:rsidRPr="006D59F3">
              <w:rPr>
                <w:rStyle w:val="Hyperlink"/>
                <w:noProof/>
              </w:rPr>
              <w:t>assessment</w:t>
            </w:r>
            <w:r w:rsidR="00B27B91">
              <w:rPr>
                <w:noProof/>
                <w:webHidden/>
              </w:rPr>
              <w:tab/>
            </w:r>
            <w:r w:rsidR="00B27B91">
              <w:rPr>
                <w:noProof/>
                <w:webHidden/>
              </w:rPr>
              <w:fldChar w:fldCharType="begin"/>
            </w:r>
            <w:r w:rsidR="00B27B91">
              <w:rPr>
                <w:noProof/>
                <w:webHidden/>
              </w:rPr>
              <w:instrText xml:space="preserve"> PAGEREF _Toc129775443 \h </w:instrText>
            </w:r>
            <w:r w:rsidR="00B27B91">
              <w:rPr>
                <w:noProof/>
                <w:webHidden/>
              </w:rPr>
            </w:r>
            <w:r w:rsidR="00B27B91">
              <w:rPr>
                <w:noProof/>
                <w:webHidden/>
              </w:rPr>
              <w:fldChar w:fldCharType="separate"/>
            </w:r>
            <w:r w:rsidR="00E22D4C">
              <w:rPr>
                <w:noProof/>
                <w:webHidden/>
              </w:rPr>
              <w:t>14</w:t>
            </w:r>
            <w:r w:rsidR="00B27B91">
              <w:rPr>
                <w:noProof/>
                <w:webHidden/>
              </w:rPr>
              <w:fldChar w:fldCharType="end"/>
            </w:r>
          </w:hyperlink>
        </w:p>
        <w:p w14:paraId="08727B37" w14:textId="3CF08C0F" w:rsidR="00B27B91" w:rsidRDefault="00000000" w:rsidP="00B27B91">
          <w:pPr>
            <w:pStyle w:val="TOC2"/>
            <w:rPr>
              <w:rFonts w:asciiTheme="minorHAnsi" w:eastAsiaTheme="minorEastAsia" w:hAnsiTheme="minorHAnsi" w:cstheme="minorBidi"/>
              <w:noProof/>
              <w:sz w:val="22"/>
              <w:szCs w:val="22"/>
              <w:lang w:eastAsia="en-GB"/>
            </w:rPr>
          </w:pPr>
          <w:hyperlink w:anchor="_Toc129775444" w:history="1">
            <w:r w:rsidR="00B27B91" w:rsidRPr="006D59F3">
              <w:rPr>
                <w:rStyle w:val="Hyperlink"/>
                <w:noProof/>
              </w:rPr>
              <w:t>2.4</w:t>
            </w:r>
            <w:r w:rsidR="00B27B91">
              <w:rPr>
                <w:rFonts w:asciiTheme="minorHAnsi" w:eastAsiaTheme="minorEastAsia" w:hAnsiTheme="minorHAnsi" w:cstheme="minorBidi"/>
                <w:noProof/>
                <w:sz w:val="22"/>
                <w:szCs w:val="22"/>
                <w:lang w:eastAsia="en-GB"/>
              </w:rPr>
              <w:tab/>
            </w:r>
            <w:r w:rsidR="00B27B91" w:rsidRPr="006D59F3">
              <w:rPr>
                <w:rStyle w:val="Hyperlink"/>
                <w:noProof/>
              </w:rPr>
              <w:t>Teachers and support staff</w:t>
            </w:r>
            <w:r w:rsidR="00B27B91">
              <w:rPr>
                <w:noProof/>
                <w:webHidden/>
              </w:rPr>
              <w:tab/>
            </w:r>
            <w:r w:rsidR="00B27B91">
              <w:rPr>
                <w:noProof/>
                <w:webHidden/>
              </w:rPr>
              <w:fldChar w:fldCharType="begin"/>
            </w:r>
            <w:r w:rsidR="00B27B91">
              <w:rPr>
                <w:noProof/>
                <w:webHidden/>
              </w:rPr>
              <w:instrText xml:space="preserve"> PAGEREF _Toc129775444 \h </w:instrText>
            </w:r>
            <w:r w:rsidR="00B27B91">
              <w:rPr>
                <w:noProof/>
                <w:webHidden/>
              </w:rPr>
            </w:r>
            <w:r w:rsidR="00B27B91">
              <w:rPr>
                <w:noProof/>
                <w:webHidden/>
              </w:rPr>
              <w:fldChar w:fldCharType="separate"/>
            </w:r>
            <w:r w:rsidR="00E22D4C">
              <w:rPr>
                <w:noProof/>
                <w:webHidden/>
              </w:rPr>
              <w:t>15</w:t>
            </w:r>
            <w:r w:rsidR="00B27B91">
              <w:rPr>
                <w:noProof/>
                <w:webHidden/>
              </w:rPr>
              <w:fldChar w:fldCharType="end"/>
            </w:r>
          </w:hyperlink>
        </w:p>
        <w:p w14:paraId="2AEDA687" w14:textId="1019B9DA" w:rsidR="00B27B91" w:rsidRDefault="00000000" w:rsidP="00B27B91">
          <w:pPr>
            <w:pStyle w:val="TOC3"/>
            <w:rPr>
              <w:rFonts w:asciiTheme="minorHAnsi" w:eastAsiaTheme="minorEastAsia" w:hAnsiTheme="minorHAnsi" w:cstheme="minorBidi"/>
              <w:noProof/>
              <w:sz w:val="22"/>
              <w:szCs w:val="22"/>
              <w:lang w:eastAsia="en-GB"/>
            </w:rPr>
          </w:pPr>
          <w:hyperlink w:anchor="_Toc129775445" w:history="1">
            <w:r w:rsidR="00B27B91" w:rsidRPr="006D59F3">
              <w:rPr>
                <w:rStyle w:val="Hyperlink"/>
                <w:noProof/>
              </w:rPr>
              <w:t>2.4.1</w:t>
            </w:r>
            <w:r w:rsidR="00B27B91">
              <w:rPr>
                <w:rFonts w:asciiTheme="minorHAnsi" w:eastAsiaTheme="minorEastAsia" w:hAnsiTheme="minorHAnsi" w:cstheme="minorBidi"/>
                <w:noProof/>
                <w:sz w:val="22"/>
                <w:szCs w:val="22"/>
                <w:lang w:eastAsia="en-GB"/>
              </w:rPr>
              <w:tab/>
            </w:r>
            <w:r w:rsidR="00B27B91" w:rsidRPr="006D59F3">
              <w:rPr>
                <w:rStyle w:val="Hyperlink"/>
                <w:noProof/>
              </w:rPr>
              <w:t>QTVI posts</w:t>
            </w:r>
            <w:r w:rsidR="00B27B91">
              <w:rPr>
                <w:noProof/>
                <w:webHidden/>
              </w:rPr>
              <w:tab/>
            </w:r>
            <w:r w:rsidR="00B27B91">
              <w:rPr>
                <w:noProof/>
                <w:webHidden/>
              </w:rPr>
              <w:fldChar w:fldCharType="begin"/>
            </w:r>
            <w:r w:rsidR="00B27B91">
              <w:rPr>
                <w:noProof/>
                <w:webHidden/>
              </w:rPr>
              <w:instrText xml:space="preserve"> PAGEREF _Toc129775445 \h </w:instrText>
            </w:r>
            <w:r w:rsidR="00B27B91">
              <w:rPr>
                <w:noProof/>
                <w:webHidden/>
              </w:rPr>
            </w:r>
            <w:r w:rsidR="00B27B91">
              <w:rPr>
                <w:noProof/>
                <w:webHidden/>
              </w:rPr>
              <w:fldChar w:fldCharType="separate"/>
            </w:r>
            <w:r w:rsidR="00E22D4C">
              <w:rPr>
                <w:noProof/>
                <w:webHidden/>
              </w:rPr>
              <w:t>15</w:t>
            </w:r>
            <w:r w:rsidR="00B27B91">
              <w:rPr>
                <w:noProof/>
                <w:webHidden/>
              </w:rPr>
              <w:fldChar w:fldCharType="end"/>
            </w:r>
          </w:hyperlink>
        </w:p>
        <w:p w14:paraId="7A1A4FB2" w14:textId="625F5C7F" w:rsidR="00B27B91" w:rsidRDefault="00000000" w:rsidP="00B27B91">
          <w:pPr>
            <w:pStyle w:val="TOC3"/>
            <w:rPr>
              <w:rFonts w:asciiTheme="minorHAnsi" w:eastAsiaTheme="minorEastAsia" w:hAnsiTheme="minorHAnsi" w:cstheme="minorBidi"/>
              <w:noProof/>
              <w:sz w:val="22"/>
              <w:szCs w:val="22"/>
              <w:lang w:eastAsia="en-GB"/>
            </w:rPr>
          </w:pPr>
          <w:hyperlink w:anchor="_Toc129775446" w:history="1">
            <w:r w:rsidR="00B27B91" w:rsidRPr="006D59F3">
              <w:rPr>
                <w:rStyle w:val="Hyperlink"/>
                <w:noProof/>
              </w:rPr>
              <w:t>2.4.2</w:t>
            </w:r>
            <w:r w:rsidR="00B27B91">
              <w:rPr>
                <w:rFonts w:asciiTheme="minorHAnsi" w:eastAsiaTheme="minorEastAsia" w:hAnsiTheme="minorHAnsi" w:cstheme="minorBidi"/>
                <w:noProof/>
                <w:sz w:val="22"/>
                <w:szCs w:val="22"/>
                <w:lang w:eastAsia="en-GB"/>
              </w:rPr>
              <w:tab/>
            </w:r>
            <w:r w:rsidR="00B27B91" w:rsidRPr="006D59F3">
              <w:rPr>
                <w:rStyle w:val="Hyperlink"/>
                <w:noProof/>
              </w:rPr>
              <w:t>Teaching assistants</w:t>
            </w:r>
            <w:r w:rsidR="00B27B91">
              <w:rPr>
                <w:noProof/>
                <w:webHidden/>
              </w:rPr>
              <w:tab/>
            </w:r>
            <w:r w:rsidR="00B27B91">
              <w:rPr>
                <w:noProof/>
                <w:webHidden/>
              </w:rPr>
              <w:fldChar w:fldCharType="begin"/>
            </w:r>
            <w:r w:rsidR="00B27B91">
              <w:rPr>
                <w:noProof/>
                <w:webHidden/>
              </w:rPr>
              <w:instrText xml:space="preserve"> PAGEREF _Toc129775446 \h </w:instrText>
            </w:r>
            <w:r w:rsidR="00B27B91">
              <w:rPr>
                <w:noProof/>
                <w:webHidden/>
              </w:rPr>
            </w:r>
            <w:r w:rsidR="00B27B91">
              <w:rPr>
                <w:noProof/>
                <w:webHidden/>
              </w:rPr>
              <w:fldChar w:fldCharType="separate"/>
            </w:r>
            <w:r w:rsidR="00E22D4C">
              <w:rPr>
                <w:noProof/>
                <w:webHidden/>
              </w:rPr>
              <w:t>15</w:t>
            </w:r>
            <w:r w:rsidR="00B27B91">
              <w:rPr>
                <w:noProof/>
                <w:webHidden/>
              </w:rPr>
              <w:fldChar w:fldCharType="end"/>
            </w:r>
          </w:hyperlink>
        </w:p>
        <w:p w14:paraId="5E706AE1" w14:textId="7A1D744C" w:rsidR="00B27B91" w:rsidRDefault="00000000" w:rsidP="00B27B91">
          <w:pPr>
            <w:pStyle w:val="TOC2"/>
            <w:rPr>
              <w:rFonts w:asciiTheme="minorHAnsi" w:eastAsiaTheme="minorEastAsia" w:hAnsiTheme="minorHAnsi" w:cstheme="minorBidi"/>
              <w:noProof/>
              <w:sz w:val="22"/>
              <w:szCs w:val="22"/>
              <w:lang w:eastAsia="en-GB"/>
            </w:rPr>
          </w:pPr>
          <w:hyperlink w:anchor="_Toc129775447" w:history="1">
            <w:r w:rsidR="00B27B91" w:rsidRPr="006D59F3">
              <w:rPr>
                <w:rStyle w:val="Hyperlink"/>
                <w:noProof/>
              </w:rPr>
              <w:t>2.5</w:t>
            </w:r>
            <w:r w:rsidR="00B27B91">
              <w:rPr>
                <w:rFonts w:asciiTheme="minorHAnsi" w:eastAsiaTheme="minorEastAsia" w:hAnsiTheme="minorHAnsi" w:cstheme="minorBidi"/>
                <w:noProof/>
                <w:sz w:val="22"/>
                <w:szCs w:val="22"/>
                <w:lang w:eastAsia="en-GB"/>
              </w:rPr>
              <w:tab/>
            </w:r>
            <w:r w:rsidR="00B27B91" w:rsidRPr="006D59F3">
              <w:rPr>
                <w:rStyle w:val="Hyperlink"/>
                <w:noProof/>
              </w:rPr>
              <w:t>Habilitation</w:t>
            </w:r>
            <w:r w:rsidR="00B27B91">
              <w:rPr>
                <w:noProof/>
                <w:webHidden/>
              </w:rPr>
              <w:tab/>
            </w:r>
            <w:r w:rsidR="00B27B91">
              <w:rPr>
                <w:noProof/>
                <w:webHidden/>
              </w:rPr>
              <w:fldChar w:fldCharType="begin"/>
            </w:r>
            <w:r w:rsidR="00B27B91">
              <w:rPr>
                <w:noProof/>
                <w:webHidden/>
              </w:rPr>
              <w:instrText xml:space="preserve"> PAGEREF _Toc129775447 \h </w:instrText>
            </w:r>
            <w:r w:rsidR="00B27B91">
              <w:rPr>
                <w:noProof/>
                <w:webHidden/>
              </w:rPr>
            </w:r>
            <w:r w:rsidR="00B27B91">
              <w:rPr>
                <w:noProof/>
                <w:webHidden/>
              </w:rPr>
              <w:fldChar w:fldCharType="separate"/>
            </w:r>
            <w:r w:rsidR="00E22D4C">
              <w:rPr>
                <w:noProof/>
                <w:webHidden/>
              </w:rPr>
              <w:t>16</w:t>
            </w:r>
            <w:r w:rsidR="00B27B91">
              <w:rPr>
                <w:noProof/>
                <w:webHidden/>
              </w:rPr>
              <w:fldChar w:fldCharType="end"/>
            </w:r>
          </w:hyperlink>
        </w:p>
        <w:p w14:paraId="19C12676" w14:textId="3DAC063E" w:rsidR="00B27B91" w:rsidRDefault="00000000" w:rsidP="00B27B91">
          <w:pPr>
            <w:pStyle w:val="TOC2"/>
            <w:rPr>
              <w:rFonts w:asciiTheme="minorHAnsi" w:eastAsiaTheme="minorEastAsia" w:hAnsiTheme="minorHAnsi" w:cstheme="minorBidi"/>
              <w:noProof/>
              <w:sz w:val="22"/>
              <w:szCs w:val="22"/>
              <w:lang w:eastAsia="en-GB"/>
            </w:rPr>
          </w:pPr>
          <w:hyperlink w:anchor="_Toc129775448" w:history="1">
            <w:r w:rsidR="00B27B91" w:rsidRPr="006D59F3">
              <w:rPr>
                <w:rStyle w:val="Hyperlink"/>
                <w:noProof/>
              </w:rPr>
              <w:t>2.6</w:t>
            </w:r>
            <w:r w:rsidR="00B27B91">
              <w:rPr>
                <w:rFonts w:asciiTheme="minorHAnsi" w:eastAsiaTheme="minorEastAsia" w:hAnsiTheme="minorHAnsi" w:cstheme="minorBidi"/>
                <w:noProof/>
                <w:sz w:val="22"/>
                <w:szCs w:val="22"/>
                <w:lang w:eastAsia="en-GB"/>
              </w:rPr>
              <w:tab/>
            </w:r>
            <w:r w:rsidR="00B27B91" w:rsidRPr="006D59F3">
              <w:rPr>
                <w:rStyle w:val="Hyperlink"/>
                <w:noProof/>
              </w:rPr>
              <w:t>Curriculum Framework for Children Young People with Vision Impairment (CFVI)</w:t>
            </w:r>
            <w:r w:rsidR="00B27B91">
              <w:rPr>
                <w:noProof/>
                <w:webHidden/>
              </w:rPr>
              <w:tab/>
            </w:r>
            <w:r w:rsidR="00B27B91">
              <w:rPr>
                <w:noProof/>
                <w:webHidden/>
              </w:rPr>
              <w:fldChar w:fldCharType="begin"/>
            </w:r>
            <w:r w:rsidR="00B27B91">
              <w:rPr>
                <w:noProof/>
                <w:webHidden/>
              </w:rPr>
              <w:instrText xml:space="preserve"> PAGEREF _Toc129775448 \h </w:instrText>
            </w:r>
            <w:r w:rsidR="00B27B91">
              <w:rPr>
                <w:noProof/>
                <w:webHidden/>
              </w:rPr>
            </w:r>
            <w:r w:rsidR="00B27B91">
              <w:rPr>
                <w:noProof/>
                <w:webHidden/>
              </w:rPr>
              <w:fldChar w:fldCharType="separate"/>
            </w:r>
            <w:r w:rsidR="00E22D4C">
              <w:rPr>
                <w:noProof/>
                <w:webHidden/>
              </w:rPr>
              <w:t>17</w:t>
            </w:r>
            <w:r w:rsidR="00B27B91">
              <w:rPr>
                <w:noProof/>
                <w:webHidden/>
              </w:rPr>
              <w:fldChar w:fldCharType="end"/>
            </w:r>
          </w:hyperlink>
        </w:p>
        <w:p w14:paraId="21ED45D9" w14:textId="1ED4CFCD" w:rsidR="00B27B91" w:rsidRDefault="00000000">
          <w:pPr>
            <w:pStyle w:val="TOC1"/>
            <w:tabs>
              <w:tab w:val="left" w:pos="567"/>
            </w:tabs>
            <w:rPr>
              <w:rFonts w:asciiTheme="minorHAnsi" w:eastAsiaTheme="minorEastAsia" w:hAnsiTheme="minorHAnsi" w:cstheme="minorBidi"/>
              <w:noProof/>
              <w:sz w:val="22"/>
              <w:szCs w:val="22"/>
              <w:lang w:eastAsia="en-GB"/>
            </w:rPr>
          </w:pPr>
          <w:hyperlink w:anchor="_Toc129775449" w:history="1">
            <w:r w:rsidR="00B27B91" w:rsidRPr="006D59F3">
              <w:rPr>
                <w:rStyle w:val="Hyperlink"/>
                <w:noProof/>
              </w:rPr>
              <w:t>3</w:t>
            </w:r>
            <w:r w:rsidR="00B27B91">
              <w:rPr>
                <w:rFonts w:asciiTheme="minorHAnsi" w:eastAsiaTheme="minorEastAsia" w:hAnsiTheme="minorHAnsi" w:cstheme="minorBidi"/>
                <w:noProof/>
                <w:sz w:val="22"/>
                <w:szCs w:val="22"/>
                <w:lang w:eastAsia="en-GB"/>
              </w:rPr>
              <w:tab/>
            </w:r>
            <w:r w:rsidR="00B27B91" w:rsidRPr="006D59F3">
              <w:rPr>
                <w:rStyle w:val="Hyperlink"/>
                <w:noProof/>
              </w:rPr>
              <w:t>Conclusion</w:t>
            </w:r>
            <w:r w:rsidR="00B27B91">
              <w:rPr>
                <w:noProof/>
                <w:webHidden/>
              </w:rPr>
              <w:tab/>
            </w:r>
            <w:r w:rsidR="00B27B91">
              <w:rPr>
                <w:noProof/>
                <w:webHidden/>
              </w:rPr>
              <w:fldChar w:fldCharType="begin"/>
            </w:r>
            <w:r w:rsidR="00B27B91">
              <w:rPr>
                <w:noProof/>
                <w:webHidden/>
              </w:rPr>
              <w:instrText xml:space="preserve"> PAGEREF _Toc129775449 \h </w:instrText>
            </w:r>
            <w:r w:rsidR="00B27B91">
              <w:rPr>
                <w:noProof/>
                <w:webHidden/>
              </w:rPr>
            </w:r>
            <w:r w:rsidR="00B27B91">
              <w:rPr>
                <w:noProof/>
                <w:webHidden/>
              </w:rPr>
              <w:fldChar w:fldCharType="separate"/>
            </w:r>
            <w:r w:rsidR="00E22D4C">
              <w:rPr>
                <w:noProof/>
                <w:webHidden/>
              </w:rPr>
              <w:t>18</w:t>
            </w:r>
            <w:r w:rsidR="00B27B91">
              <w:rPr>
                <w:noProof/>
                <w:webHidden/>
              </w:rPr>
              <w:fldChar w:fldCharType="end"/>
            </w:r>
          </w:hyperlink>
        </w:p>
        <w:p w14:paraId="344ACB14" w14:textId="7802E7DA" w:rsidR="00666052" w:rsidRPr="00666052" w:rsidRDefault="00666052" w:rsidP="00B27B91">
          <w:pPr>
            <w:spacing w:line="276" w:lineRule="auto"/>
          </w:pPr>
          <w:r w:rsidRPr="00666052">
            <w:rPr>
              <w:b/>
              <w:bCs/>
              <w:noProof/>
              <w:sz w:val="26"/>
              <w:szCs w:val="26"/>
            </w:rPr>
            <w:fldChar w:fldCharType="end"/>
          </w:r>
        </w:p>
      </w:sdtContent>
    </w:sdt>
    <w:p w14:paraId="301D48CC" w14:textId="3FC6E06B" w:rsidR="001416AC" w:rsidRPr="00DA1ED2" w:rsidRDefault="001416AC" w:rsidP="00666052">
      <w:pPr>
        <w:pStyle w:val="Heading1"/>
        <w:numPr>
          <w:ilvl w:val="0"/>
          <w:numId w:val="0"/>
        </w:numPr>
      </w:pPr>
      <w:bookmarkStart w:id="15" w:name="_Toc129775425"/>
      <w:bookmarkStart w:id="16" w:name="_Toc125543648"/>
      <w:bookmarkStart w:id="17" w:name="_Toc125381830"/>
      <w:r w:rsidRPr="00DA1ED2">
        <w:lastRenderedPageBreak/>
        <w:t>Foreword</w:t>
      </w:r>
      <w:bookmarkEnd w:id="15"/>
      <w:r w:rsidRPr="00DA1ED2">
        <w:t xml:space="preserve"> </w:t>
      </w:r>
    </w:p>
    <w:p w14:paraId="7E2C8F32" w14:textId="77777777" w:rsidR="001416AC" w:rsidRDefault="001416AC" w:rsidP="001416AC"/>
    <w:p w14:paraId="13391F0A" w14:textId="377E2A61" w:rsidR="001416AC" w:rsidRPr="00CA384C" w:rsidRDefault="001416AC" w:rsidP="00CA384C">
      <w:pPr>
        <w:rPr>
          <w:bCs/>
          <w:sz w:val="32"/>
          <w:szCs w:val="22"/>
        </w:rPr>
      </w:pPr>
      <w:r w:rsidRPr="00CA384C">
        <w:rPr>
          <w:b/>
          <w:bCs/>
          <w:sz w:val="32"/>
          <w:szCs w:val="22"/>
        </w:rPr>
        <w:t>Our call for sufficient numbers of specialist education professionals and funding</w:t>
      </w:r>
    </w:p>
    <w:p w14:paraId="11687690" w14:textId="77777777" w:rsidR="001416AC" w:rsidRPr="00A340CC" w:rsidRDefault="001416AC" w:rsidP="001416AC"/>
    <w:p w14:paraId="6F992111" w14:textId="43F61CFC" w:rsidR="001416AC" w:rsidRDefault="001416AC" w:rsidP="001416AC">
      <w:pPr>
        <w:pStyle w:val="paragraph"/>
        <w:spacing w:before="0" w:beforeAutospacing="0" w:after="0" w:afterAutospacing="0"/>
        <w:textAlignment w:val="baseline"/>
        <w:rPr>
          <w:rStyle w:val="normaltextrun"/>
          <w:rFonts w:ascii="Arial" w:hAnsi="Arial" w:cs="Arial"/>
          <w:sz w:val="28"/>
          <w:szCs w:val="28"/>
        </w:rPr>
      </w:pPr>
      <w:r w:rsidRPr="3AC5DBD3">
        <w:rPr>
          <w:rStyle w:val="normaltextrun"/>
          <w:rFonts w:ascii="Arial" w:hAnsi="Arial" w:cs="Arial"/>
          <w:sz w:val="28"/>
          <w:szCs w:val="28"/>
        </w:rPr>
        <w:t xml:space="preserve">This year’s RNIB’s annual </w:t>
      </w:r>
      <w:r>
        <w:rPr>
          <w:rStyle w:val="normaltextrun"/>
          <w:rFonts w:ascii="Arial" w:hAnsi="Arial" w:cs="Arial"/>
          <w:sz w:val="28"/>
          <w:szCs w:val="28"/>
        </w:rPr>
        <w:t xml:space="preserve">education </w:t>
      </w:r>
      <w:r w:rsidRPr="3AC5DBD3">
        <w:rPr>
          <w:rStyle w:val="normaltextrun"/>
          <w:rFonts w:ascii="Arial" w:hAnsi="Arial" w:cs="Arial"/>
          <w:sz w:val="28"/>
          <w:szCs w:val="28"/>
        </w:rPr>
        <w:t>Freedom of Information (FOI) survey conducted in Autumn 2022, yet again shows some concerning trends and shifts in education provision</w:t>
      </w:r>
      <w:r>
        <w:rPr>
          <w:rStyle w:val="normaltextrun"/>
          <w:rFonts w:ascii="Arial" w:hAnsi="Arial" w:cs="Arial"/>
          <w:sz w:val="28"/>
          <w:szCs w:val="28"/>
        </w:rPr>
        <w:t xml:space="preserve"> across England's 152 local authorities</w:t>
      </w:r>
      <w:r w:rsidRPr="3AC5DBD3">
        <w:rPr>
          <w:rStyle w:val="normaltextrun"/>
          <w:rFonts w:ascii="Arial" w:hAnsi="Arial" w:cs="Arial"/>
          <w:sz w:val="28"/>
          <w:szCs w:val="28"/>
        </w:rPr>
        <w:t xml:space="preserve">. We run the survey every year to give the education sector invaluable information, data, </w:t>
      </w:r>
      <w:proofErr w:type="gramStart"/>
      <w:r w:rsidRPr="3AC5DBD3">
        <w:rPr>
          <w:rStyle w:val="normaltextrun"/>
          <w:rFonts w:ascii="Arial" w:hAnsi="Arial" w:cs="Arial"/>
          <w:sz w:val="28"/>
          <w:szCs w:val="28"/>
        </w:rPr>
        <w:t>evidence</w:t>
      </w:r>
      <w:proofErr w:type="gramEnd"/>
      <w:r w:rsidRPr="3AC5DBD3">
        <w:rPr>
          <w:rStyle w:val="normaltextrun"/>
          <w:rFonts w:ascii="Arial" w:hAnsi="Arial" w:cs="Arial"/>
          <w:sz w:val="28"/>
          <w:szCs w:val="28"/>
        </w:rPr>
        <w:t xml:space="preserve"> and trends pertaining to local authority (LA) vision impairment (VI) services in England. </w:t>
      </w:r>
    </w:p>
    <w:p w14:paraId="60967033" w14:textId="77777777" w:rsidR="001416AC" w:rsidRPr="00757A52" w:rsidRDefault="001416AC" w:rsidP="001416AC">
      <w:pPr>
        <w:pStyle w:val="paragraph"/>
        <w:spacing w:before="0" w:beforeAutospacing="0" w:after="0" w:afterAutospacing="0"/>
        <w:textAlignment w:val="baseline"/>
        <w:rPr>
          <w:rStyle w:val="normaltextrun"/>
          <w:rFonts w:ascii="Arial" w:hAnsi="Arial" w:cs="Arial"/>
          <w:sz w:val="28"/>
          <w:szCs w:val="28"/>
        </w:rPr>
      </w:pPr>
    </w:p>
    <w:p w14:paraId="065B4B71" w14:textId="53C2D5C0" w:rsidR="001416AC" w:rsidRPr="00757A52" w:rsidRDefault="001416AC" w:rsidP="001416AC">
      <w:pPr>
        <w:pStyle w:val="paragraph"/>
        <w:spacing w:before="0" w:beforeAutospacing="0" w:after="0" w:afterAutospacing="0"/>
        <w:textAlignment w:val="baseline"/>
        <w:rPr>
          <w:rStyle w:val="normaltextrun"/>
          <w:rFonts w:ascii="Arial" w:hAnsi="Arial" w:cs="Arial"/>
          <w:sz w:val="28"/>
          <w:szCs w:val="28"/>
        </w:rPr>
      </w:pPr>
      <w:r w:rsidRPr="3AC5DBD3">
        <w:rPr>
          <w:rStyle w:val="normaltextrun"/>
          <w:rFonts w:ascii="Arial" w:hAnsi="Arial" w:cs="Arial"/>
          <w:sz w:val="28"/>
          <w:szCs w:val="28"/>
        </w:rPr>
        <w:t xml:space="preserve">The Curriculum Framework for children and young people with vision impairment (CFVI), which we launched last year, clearly defines the specialist skills that a child with vision impairment may require access to during their time in education. Yet our FOI survey shows that the specialists needed to teach and support the development of specialist skills are under increasing pressure in terms of time and resource. </w:t>
      </w:r>
    </w:p>
    <w:p w14:paraId="7769EBA4" w14:textId="77777777" w:rsidR="001416AC" w:rsidRPr="00757A52" w:rsidRDefault="001416AC" w:rsidP="001416AC">
      <w:pPr>
        <w:pStyle w:val="paragraph"/>
        <w:spacing w:before="0" w:beforeAutospacing="0" w:after="0" w:afterAutospacing="0"/>
        <w:textAlignment w:val="baseline"/>
        <w:rPr>
          <w:rFonts w:ascii="Arial" w:hAnsi="Arial" w:cs="Arial"/>
          <w:sz w:val="28"/>
          <w:szCs w:val="28"/>
        </w:rPr>
      </w:pPr>
    </w:p>
    <w:p w14:paraId="3581D842" w14:textId="77777777" w:rsidR="001416AC" w:rsidRDefault="001416AC" w:rsidP="001416AC">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Data shows us there</w:t>
      </w:r>
      <w:r w:rsidRPr="00757A52">
        <w:rPr>
          <w:rStyle w:val="normaltextrun"/>
          <w:rFonts w:ascii="Arial" w:hAnsi="Arial" w:cs="Arial"/>
          <w:sz w:val="28"/>
          <w:szCs w:val="28"/>
        </w:rPr>
        <w:t xml:space="preserve"> are more children and young people requiring and accessing specialist support, yet many services have experienced inconsistent funding</w:t>
      </w:r>
      <w:r>
        <w:rPr>
          <w:rStyle w:val="normaltextrun"/>
          <w:rFonts w:ascii="Arial" w:hAnsi="Arial" w:cs="Arial"/>
          <w:sz w:val="28"/>
          <w:szCs w:val="28"/>
        </w:rPr>
        <w:t xml:space="preserve"> -</w:t>
      </w:r>
      <w:r w:rsidRPr="00757A52">
        <w:rPr>
          <w:rStyle w:val="normaltextrun"/>
          <w:rFonts w:ascii="Arial" w:hAnsi="Arial" w:cs="Arial"/>
          <w:sz w:val="28"/>
          <w:szCs w:val="28"/>
        </w:rPr>
        <w:t xml:space="preserve"> with budgets fluctuating year</w:t>
      </w:r>
      <w:r>
        <w:rPr>
          <w:rStyle w:val="normaltextrun"/>
          <w:rFonts w:ascii="Arial" w:hAnsi="Arial" w:cs="Arial"/>
          <w:sz w:val="28"/>
          <w:szCs w:val="28"/>
        </w:rPr>
        <w:t>-</w:t>
      </w:r>
      <w:r w:rsidRPr="00757A52">
        <w:rPr>
          <w:rStyle w:val="normaltextrun"/>
          <w:rFonts w:ascii="Arial" w:hAnsi="Arial" w:cs="Arial"/>
          <w:sz w:val="28"/>
          <w:szCs w:val="28"/>
        </w:rPr>
        <w:t>on</w:t>
      </w:r>
      <w:r>
        <w:rPr>
          <w:rStyle w:val="normaltextrun"/>
          <w:rFonts w:ascii="Arial" w:hAnsi="Arial" w:cs="Arial"/>
          <w:sz w:val="28"/>
          <w:szCs w:val="28"/>
        </w:rPr>
        <w:t>-</w:t>
      </w:r>
      <w:r w:rsidRPr="00757A52">
        <w:rPr>
          <w:rStyle w:val="normaltextrun"/>
          <w:rFonts w:ascii="Arial" w:hAnsi="Arial" w:cs="Arial"/>
          <w:sz w:val="28"/>
          <w:szCs w:val="28"/>
        </w:rPr>
        <w:t>year</w:t>
      </w:r>
      <w:r>
        <w:rPr>
          <w:rStyle w:val="normaltextrun"/>
          <w:rFonts w:ascii="Arial" w:hAnsi="Arial" w:cs="Arial"/>
          <w:sz w:val="28"/>
          <w:szCs w:val="28"/>
        </w:rPr>
        <w:t xml:space="preserve"> -</w:t>
      </w:r>
      <w:r w:rsidRPr="00757A52">
        <w:rPr>
          <w:rStyle w:val="normaltextrun"/>
          <w:rFonts w:ascii="Arial" w:hAnsi="Arial" w:cs="Arial"/>
          <w:sz w:val="28"/>
          <w:szCs w:val="28"/>
        </w:rPr>
        <w:t xml:space="preserve"> making planning and provision increasingly problematic. As provision becomes ever more stretched, we remain concerned that access to vital specialist support is be</w:t>
      </w:r>
      <w:r>
        <w:rPr>
          <w:rStyle w:val="normaltextrun"/>
          <w:rFonts w:ascii="Arial" w:hAnsi="Arial" w:cs="Arial"/>
          <w:sz w:val="28"/>
          <w:szCs w:val="28"/>
        </w:rPr>
        <w:t>ing</w:t>
      </w:r>
      <w:r w:rsidRPr="00757A52">
        <w:rPr>
          <w:rStyle w:val="normaltextrun"/>
          <w:rFonts w:ascii="Arial" w:hAnsi="Arial" w:cs="Arial"/>
          <w:sz w:val="28"/>
          <w:szCs w:val="28"/>
        </w:rPr>
        <w:t xml:space="preserve"> reduced, impact</w:t>
      </w:r>
      <w:r>
        <w:rPr>
          <w:rStyle w:val="normaltextrun"/>
          <w:rFonts w:ascii="Arial" w:hAnsi="Arial" w:cs="Arial"/>
          <w:sz w:val="28"/>
          <w:szCs w:val="28"/>
        </w:rPr>
        <w:t>ing</w:t>
      </w:r>
      <w:r w:rsidRPr="00757A52">
        <w:rPr>
          <w:rStyle w:val="normaltextrun"/>
          <w:rFonts w:ascii="Arial" w:hAnsi="Arial" w:cs="Arial"/>
          <w:sz w:val="28"/>
          <w:szCs w:val="28"/>
        </w:rPr>
        <w:t xml:space="preserve"> not only children’s education but also </w:t>
      </w:r>
      <w:r>
        <w:rPr>
          <w:rStyle w:val="normaltextrun"/>
          <w:rFonts w:ascii="Arial" w:hAnsi="Arial" w:cs="Arial"/>
          <w:sz w:val="28"/>
          <w:szCs w:val="28"/>
        </w:rPr>
        <w:t>opportunities in</w:t>
      </w:r>
      <w:r w:rsidRPr="00757A52">
        <w:rPr>
          <w:rStyle w:val="normaltextrun"/>
          <w:rFonts w:ascii="Arial" w:hAnsi="Arial" w:cs="Arial"/>
          <w:sz w:val="28"/>
          <w:szCs w:val="28"/>
        </w:rPr>
        <w:t xml:space="preserve"> later life. </w:t>
      </w:r>
    </w:p>
    <w:p w14:paraId="5152222F" w14:textId="77777777" w:rsidR="001416AC" w:rsidRDefault="001416AC" w:rsidP="001416AC">
      <w:pPr>
        <w:pStyle w:val="paragraph"/>
        <w:spacing w:before="0" w:beforeAutospacing="0" w:after="0" w:afterAutospacing="0"/>
        <w:textAlignment w:val="baseline"/>
        <w:rPr>
          <w:rStyle w:val="normaltextrun"/>
          <w:rFonts w:ascii="Arial" w:hAnsi="Arial" w:cs="Arial"/>
          <w:sz w:val="28"/>
          <w:szCs w:val="28"/>
        </w:rPr>
      </w:pPr>
    </w:p>
    <w:p w14:paraId="56F6467B" w14:textId="77777777" w:rsidR="001416AC" w:rsidRDefault="001416AC" w:rsidP="001416AC">
      <w:pPr>
        <w:pStyle w:val="paragraph"/>
        <w:spacing w:before="0" w:beforeAutospacing="0" w:after="0" w:afterAutospacing="0"/>
        <w:textAlignment w:val="baseline"/>
        <w:rPr>
          <w:rFonts w:ascii="Arial" w:hAnsi="Arial" w:cs="Arial"/>
          <w:sz w:val="28"/>
          <w:szCs w:val="28"/>
        </w:rPr>
      </w:pPr>
      <w:r w:rsidRPr="00757A52">
        <w:rPr>
          <w:rFonts w:ascii="Arial" w:hAnsi="Arial" w:cs="Arial"/>
          <w:sz w:val="28"/>
          <w:szCs w:val="28"/>
        </w:rPr>
        <w:t xml:space="preserve">To ensure children and young people with VI have equitable access to education, provision needs to be delivered more consistently through </w:t>
      </w:r>
      <w:r>
        <w:rPr>
          <w:rFonts w:ascii="Arial" w:hAnsi="Arial" w:cs="Arial"/>
          <w:sz w:val="28"/>
          <w:szCs w:val="28"/>
        </w:rPr>
        <w:t>sufficient</w:t>
      </w:r>
      <w:r w:rsidRPr="00757A52">
        <w:rPr>
          <w:rFonts w:ascii="Arial" w:hAnsi="Arial" w:cs="Arial"/>
          <w:sz w:val="28"/>
          <w:szCs w:val="28"/>
        </w:rPr>
        <w:t xml:space="preserve"> numbers of specialist</w:t>
      </w:r>
      <w:r>
        <w:rPr>
          <w:rFonts w:ascii="Arial" w:hAnsi="Arial" w:cs="Arial"/>
          <w:sz w:val="28"/>
          <w:szCs w:val="28"/>
        </w:rPr>
        <w:t xml:space="preserve"> education professionals</w:t>
      </w:r>
      <w:r w:rsidRPr="00757A52">
        <w:rPr>
          <w:rFonts w:ascii="Arial" w:hAnsi="Arial" w:cs="Arial"/>
          <w:sz w:val="28"/>
          <w:szCs w:val="28"/>
        </w:rPr>
        <w:t xml:space="preserve"> and adequate and protected funding.</w:t>
      </w:r>
    </w:p>
    <w:p w14:paraId="40FABB9E" w14:textId="77777777" w:rsidR="001416AC" w:rsidRDefault="001416AC" w:rsidP="001416AC">
      <w:pPr>
        <w:pStyle w:val="paragraph"/>
        <w:spacing w:before="0" w:beforeAutospacing="0" w:after="0" w:afterAutospacing="0"/>
        <w:textAlignment w:val="baseline"/>
        <w:rPr>
          <w:rFonts w:ascii="Arial" w:hAnsi="Arial" w:cs="Arial"/>
          <w:sz w:val="28"/>
          <w:szCs w:val="28"/>
        </w:rPr>
      </w:pPr>
    </w:p>
    <w:p w14:paraId="4E817F02" w14:textId="77777777" w:rsidR="001416AC" w:rsidRDefault="001416AC" w:rsidP="001416AC">
      <w:pPr>
        <w:pStyle w:val="paragraph"/>
        <w:spacing w:before="0" w:beforeAutospacing="0" w:after="0" w:afterAutospacing="0"/>
        <w:textAlignment w:val="baseline"/>
        <w:rPr>
          <w:rFonts w:ascii="Arial" w:hAnsi="Arial" w:cs="Arial"/>
          <w:sz w:val="28"/>
          <w:szCs w:val="28"/>
        </w:rPr>
      </w:pPr>
    </w:p>
    <w:p w14:paraId="08F29BBF" w14:textId="77777777" w:rsidR="001416AC" w:rsidRDefault="001416AC" w:rsidP="001416AC">
      <w:pPr>
        <w:pStyle w:val="paragraph"/>
        <w:spacing w:before="0" w:beforeAutospacing="0" w:after="0" w:afterAutospacing="0"/>
        <w:textAlignment w:val="baseline"/>
        <w:rPr>
          <w:rFonts w:ascii="Arial" w:hAnsi="Arial" w:cs="Arial"/>
          <w:sz w:val="28"/>
          <w:szCs w:val="28"/>
        </w:rPr>
      </w:pPr>
    </w:p>
    <w:p w14:paraId="1F2D81A1" w14:textId="77777777" w:rsidR="001416AC" w:rsidRPr="00CA384C" w:rsidRDefault="001416AC" w:rsidP="001416AC">
      <w:pPr>
        <w:pStyle w:val="paragraph"/>
        <w:spacing w:before="0" w:beforeAutospacing="0" w:after="0" w:afterAutospacing="0"/>
        <w:textAlignment w:val="baseline"/>
        <w:rPr>
          <w:rFonts w:ascii="Arial" w:hAnsi="Arial" w:cs="Arial"/>
          <w:b/>
          <w:bCs/>
          <w:sz w:val="28"/>
          <w:szCs w:val="28"/>
        </w:rPr>
      </w:pPr>
      <w:r w:rsidRPr="00CA384C">
        <w:rPr>
          <w:rFonts w:ascii="Arial" w:hAnsi="Arial" w:cs="Arial"/>
          <w:b/>
          <w:bCs/>
          <w:sz w:val="28"/>
          <w:szCs w:val="28"/>
        </w:rPr>
        <w:t>Caireen Sutherland</w:t>
      </w:r>
    </w:p>
    <w:p w14:paraId="6DFC7B8E" w14:textId="4B9C3DB1" w:rsidR="001416AC" w:rsidRPr="00757A52" w:rsidRDefault="001416AC" w:rsidP="001416AC">
      <w:pPr>
        <w:pStyle w:val="paragraph"/>
        <w:spacing w:before="0" w:beforeAutospacing="0" w:after="0" w:afterAutospacing="0"/>
        <w:textAlignment w:val="baseline"/>
        <w:rPr>
          <w:rFonts w:ascii="Arial" w:hAnsi="Arial" w:cs="Arial"/>
          <w:sz w:val="28"/>
          <w:szCs w:val="28"/>
        </w:rPr>
      </w:pPr>
      <w:r>
        <w:rPr>
          <w:rFonts w:ascii="Arial" w:hAnsi="Arial" w:cs="Arial"/>
          <w:sz w:val="28"/>
          <w:szCs w:val="28"/>
        </w:rPr>
        <w:t>Head of Education, RNIB</w:t>
      </w:r>
    </w:p>
    <w:p w14:paraId="0A1CEAA7" w14:textId="77777777" w:rsidR="001416AC" w:rsidRPr="00E41665" w:rsidRDefault="001416AC" w:rsidP="001416AC"/>
    <w:p w14:paraId="1262CA15" w14:textId="77777777" w:rsidR="001416AC" w:rsidRPr="00E41665" w:rsidRDefault="001416AC" w:rsidP="001416AC"/>
    <w:p w14:paraId="72EF510E" w14:textId="77777777" w:rsidR="001416AC" w:rsidRPr="00E41665" w:rsidRDefault="001416AC" w:rsidP="001416AC">
      <w:pPr>
        <w:rPr>
          <w:b/>
          <w:kern w:val="32"/>
          <w:sz w:val="48"/>
          <w:szCs w:val="48"/>
        </w:rPr>
      </w:pPr>
      <w:r w:rsidRPr="00E41665">
        <w:br w:type="page"/>
      </w:r>
    </w:p>
    <w:p w14:paraId="17E4310D" w14:textId="223D8E7D" w:rsidR="001416AC" w:rsidRDefault="001416AC" w:rsidP="00CA384C">
      <w:pPr>
        <w:pStyle w:val="Heading1"/>
        <w:numPr>
          <w:ilvl w:val="0"/>
          <w:numId w:val="0"/>
        </w:numPr>
      </w:pPr>
      <w:bookmarkStart w:id="18" w:name="_Toc129775426"/>
      <w:r w:rsidRPr="00E41665">
        <w:lastRenderedPageBreak/>
        <w:t>Glossary</w:t>
      </w:r>
      <w:bookmarkEnd w:id="18"/>
    </w:p>
    <w:p w14:paraId="68C65624" w14:textId="2E902482" w:rsidR="001416AC" w:rsidRDefault="001416AC" w:rsidP="00FA16CE">
      <w:pPr>
        <w:spacing w:before="240"/>
      </w:pPr>
      <w:r>
        <w:t>Here we explain the</w:t>
      </w:r>
      <w:r w:rsidRPr="00E41665">
        <w:t xml:space="preserve"> acronyms used in this report </w:t>
      </w:r>
      <w:r>
        <w:t>with</w:t>
      </w:r>
      <w:r w:rsidRPr="00E41665">
        <w:t xml:space="preserve"> their definitions. For ease</w:t>
      </w:r>
      <w:r>
        <w:t>,</w:t>
      </w:r>
      <w:r w:rsidRPr="00E41665">
        <w:t xml:space="preserve"> </w:t>
      </w:r>
      <w:r>
        <w:t xml:space="preserve">we have used </w:t>
      </w:r>
      <w:r w:rsidRPr="00E41665">
        <w:t xml:space="preserve">some terms </w:t>
      </w:r>
      <w:r>
        <w:t xml:space="preserve">- </w:t>
      </w:r>
      <w:r w:rsidRPr="00E41665">
        <w:t>such as teaching assistant</w:t>
      </w:r>
      <w:r>
        <w:t xml:space="preserve"> -</w:t>
      </w:r>
      <w:r w:rsidRPr="00E41665">
        <w:t xml:space="preserve"> </w:t>
      </w:r>
      <w:r>
        <w:t>but we acknowledge</w:t>
      </w:r>
      <w:r w:rsidRPr="00E41665">
        <w:t xml:space="preserve"> different terms are used </w:t>
      </w:r>
      <w:r>
        <w:t xml:space="preserve">both </w:t>
      </w:r>
      <w:r w:rsidRPr="00E41665">
        <w:t>across England</w:t>
      </w:r>
      <w:r>
        <w:t xml:space="preserve"> and elsewhere</w:t>
      </w:r>
      <w:r w:rsidRPr="00E41665">
        <w:t>. There are two columns</w:t>
      </w:r>
      <w:r>
        <w:t xml:space="preserve"> in this table</w:t>
      </w:r>
      <w:r w:rsidRPr="00E41665">
        <w:t>. The first column contains the acronym, and the second column contains the definition.</w:t>
      </w:r>
    </w:p>
    <w:p w14:paraId="1BE391E6" w14:textId="77777777" w:rsidR="001416AC" w:rsidRPr="00E41665" w:rsidRDefault="001416AC" w:rsidP="001416AC"/>
    <w:p w14:paraId="0460F0D6" w14:textId="77777777" w:rsidR="001416AC" w:rsidRPr="00E41665" w:rsidRDefault="001416AC" w:rsidP="001416AC"/>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8056"/>
      </w:tblGrid>
      <w:tr w:rsidR="001416AC" w:rsidRPr="00E41665" w14:paraId="471B66DF" w14:textId="77777777" w:rsidTr="00FA16CE">
        <w:trPr>
          <w:trHeight w:val="833"/>
        </w:trPr>
        <w:tc>
          <w:tcPr>
            <w:tcW w:w="1497" w:type="dxa"/>
          </w:tcPr>
          <w:p w14:paraId="1603F1C6" w14:textId="77777777" w:rsidR="001416AC" w:rsidRPr="00E41665" w:rsidRDefault="001416AC" w:rsidP="00B55E57">
            <w:pPr>
              <w:spacing w:after="120"/>
              <w:rPr>
                <w:b/>
              </w:rPr>
            </w:pPr>
            <w:r w:rsidRPr="00E41665">
              <w:rPr>
                <w:b/>
                <w:bCs/>
              </w:rPr>
              <w:t>CFVI</w:t>
            </w:r>
          </w:p>
        </w:tc>
        <w:tc>
          <w:tcPr>
            <w:tcW w:w="8056" w:type="dxa"/>
          </w:tcPr>
          <w:p w14:paraId="305EFCF7" w14:textId="77777777" w:rsidR="001416AC" w:rsidRPr="00E41665" w:rsidRDefault="001416AC" w:rsidP="00B55E57">
            <w:pPr>
              <w:spacing w:after="120"/>
            </w:pPr>
            <w:r w:rsidRPr="00E41665">
              <w:t>Curriculum Framework for Children and Young People with Vision Impairment</w:t>
            </w:r>
          </w:p>
        </w:tc>
      </w:tr>
      <w:tr w:rsidR="001416AC" w:rsidRPr="00E41665" w14:paraId="08CB1428" w14:textId="77777777" w:rsidTr="00FA16CE">
        <w:trPr>
          <w:trHeight w:val="481"/>
        </w:trPr>
        <w:tc>
          <w:tcPr>
            <w:tcW w:w="1497" w:type="dxa"/>
          </w:tcPr>
          <w:p w14:paraId="01465C5F" w14:textId="77777777" w:rsidR="001416AC" w:rsidRPr="00E41665" w:rsidRDefault="001416AC" w:rsidP="00B55E57">
            <w:pPr>
              <w:spacing w:after="120"/>
              <w:rPr>
                <w:b/>
              </w:rPr>
            </w:pPr>
            <w:r w:rsidRPr="00E41665">
              <w:rPr>
                <w:b/>
              </w:rPr>
              <w:t>CYP</w:t>
            </w:r>
          </w:p>
        </w:tc>
        <w:tc>
          <w:tcPr>
            <w:tcW w:w="8056" w:type="dxa"/>
          </w:tcPr>
          <w:p w14:paraId="03525672" w14:textId="77777777" w:rsidR="001416AC" w:rsidRPr="00E41665" w:rsidRDefault="001416AC" w:rsidP="00B55E57">
            <w:pPr>
              <w:spacing w:after="120"/>
            </w:pPr>
            <w:r w:rsidRPr="00E41665">
              <w:t>Children and Young People</w:t>
            </w:r>
          </w:p>
        </w:tc>
      </w:tr>
      <w:tr w:rsidR="001416AC" w:rsidRPr="00E41665" w14:paraId="60FC53FC" w14:textId="77777777" w:rsidTr="00FA16CE">
        <w:trPr>
          <w:trHeight w:val="481"/>
        </w:trPr>
        <w:tc>
          <w:tcPr>
            <w:tcW w:w="1497" w:type="dxa"/>
          </w:tcPr>
          <w:p w14:paraId="71D0FF1B" w14:textId="77777777" w:rsidR="001416AC" w:rsidRPr="00E41665" w:rsidRDefault="001416AC" w:rsidP="00B55E57">
            <w:pPr>
              <w:spacing w:after="120"/>
              <w:rPr>
                <w:b/>
              </w:rPr>
            </w:pPr>
            <w:r w:rsidRPr="00E41665">
              <w:rPr>
                <w:b/>
              </w:rPr>
              <w:t>DfE</w:t>
            </w:r>
          </w:p>
        </w:tc>
        <w:tc>
          <w:tcPr>
            <w:tcW w:w="8056" w:type="dxa"/>
          </w:tcPr>
          <w:p w14:paraId="79D7A5B0" w14:textId="77777777" w:rsidR="001416AC" w:rsidRPr="00E41665" w:rsidRDefault="001416AC" w:rsidP="00B55E57">
            <w:pPr>
              <w:spacing w:after="120"/>
            </w:pPr>
            <w:r w:rsidRPr="00E41665">
              <w:t>Department for Education</w:t>
            </w:r>
          </w:p>
        </w:tc>
      </w:tr>
      <w:tr w:rsidR="001416AC" w:rsidRPr="00E41665" w14:paraId="56C542E6" w14:textId="77777777" w:rsidTr="00FA16CE">
        <w:trPr>
          <w:trHeight w:val="481"/>
        </w:trPr>
        <w:tc>
          <w:tcPr>
            <w:tcW w:w="1497" w:type="dxa"/>
          </w:tcPr>
          <w:p w14:paraId="4B2EDEE9" w14:textId="77777777" w:rsidR="001416AC" w:rsidRPr="00E41665" w:rsidRDefault="001416AC" w:rsidP="00B55E57">
            <w:pPr>
              <w:spacing w:after="120"/>
              <w:rPr>
                <w:b/>
              </w:rPr>
            </w:pPr>
            <w:r w:rsidRPr="00E41665">
              <w:rPr>
                <w:b/>
              </w:rPr>
              <w:t>EHCP</w:t>
            </w:r>
          </w:p>
        </w:tc>
        <w:tc>
          <w:tcPr>
            <w:tcW w:w="8056" w:type="dxa"/>
          </w:tcPr>
          <w:p w14:paraId="602A6DDB" w14:textId="77777777" w:rsidR="001416AC" w:rsidRPr="00E41665" w:rsidRDefault="001416AC" w:rsidP="00B55E57">
            <w:pPr>
              <w:spacing w:after="120"/>
            </w:pPr>
            <w:r w:rsidRPr="00E41665">
              <w:t>Education, Health, and Care Plan</w:t>
            </w:r>
          </w:p>
        </w:tc>
      </w:tr>
      <w:tr w:rsidR="001416AC" w:rsidRPr="00E41665" w14:paraId="0B92FD8A" w14:textId="77777777" w:rsidTr="00FA16CE">
        <w:trPr>
          <w:trHeight w:val="481"/>
        </w:trPr>
        <w:tc>
          <w:tcPr>
            <w:tcW w:w="1497" w:type="dxa"/>
          </w:tcPr>
          <w:p w14:paraId="68A45150" w14:textId="77777777" w:rsidR="001416AC" w:rsidRPr="00E41665" w:rsidRDefault="001416AC" w:rsidP="00B55E57">
            <w:pPr>
              <w:spacing w:after="120"/>
              <w:rPr>
                <w:b/>
              </w:rPr>
            </w:pPr>
            <w:r w:rsidRPr="00E41665">
              <w:rPr>
                <w:b/>
              </w:rPr>
              <w:t>FOI</w:t>
            </w:r>
          </w:p>
        </w:tc>
        <w:tc>
          <w:tcPr>
            <w:tcW w:w="8056" w:type="dxa"/>
          </w:tcPr>
          <w:p w14:paraId="02D04927" w14:textId="77777777" w:rsidR="001416AC" w:rsidRPr="00E41665" w:rsidRDefault="001416AC" w:rsidP="00B55E57">
            <w:pPr>
              <w:spacing w:after="120"/>
            </w:pPr>
            <w:r w:rsidRPr="00E41665">
              <w:t>Freedom of Information</w:t>
            </w:r>
          </w:p>
        </w:tc>
      </w:tr>
      <w:tr w:rsidR="001416AC" w:rsidRPr="00E41665" w14:paraId="237AAF71" w14:textId="77777777" w:rsidTr="00FA16CE">
        <w:trPr>
          <w:trHeight w:val="481"/>
        </w:trPr>
        <w:tc>
          <w:tcPr>
            <w:tcW w:w="1497" w:type="dxa"/>
          </w:tcPr>
          <w:p w14:paraId="21155C99" w14:textId="77777777" w:rsidR="001416AC" w:rsidRPr="00E41665" w:rsidRDefault="001416AC" w:rsidP="00B55E57">
            <w:pPr>
              <w:spacing w:after="120"/>
              <w:rPr>
                <w:b/>
              </w:rPr>
            </w:pPr>
            <w:r w:rsidRPr="00E41665">
              <w:rPr>
                <w:b/>
              </w:rPr>
              <w:t>FTE</w:t>
            </w:r>
          </w:p>
        </w:tc>
        <w:tc>
          <w:tcPr>
            <w:tcW w:w="8056" w:type="dxa"/>
          </w:tcPr>
          <w:p w14:paraId="4B8E0C4C" w14:textId="77777777" w:rsidR="001416AC" w:rsidRPr="00E41665" w:rsidRDefault="001416AC" w:rsidP="00B55E57">
            <w:pPr>
              <w:spacing w:after="120"/>
            </w:pPr>
            <w:r w:rsidRPr="00E41665">
              <w:t>Full-time Equivalent</w:t>
            </w:r>
          </w:p>
        </w:tc>
      </w:tr>
      <w:tr w:rsidR="001416AC" w:rsidRPr="00E41665" w14:paraId="6C5E3B4D" w14:textId="77777777" w:rsidTr="00FA16CE">
        <w:trPr>
          <w:trHeight w:val="481"/>
        </w:trPr>
        <w:tc>
          <w:tcPr>
            <w:tcW w:w="1497" w:type="dxa"/>
          </w:tcPr>
          <w:p w14:paraId="34A94C88" w14:textId="77777777" w:rsidR="001416AC" w:rsidRPr="00E41665" w:rsidRDefault="001416AC" w:rsidP="00B55E57">
            <w:pPr>
              <w:spacing w:after="120"/>
              <w:rPr>
                <w:b/>
              </w:rPr>
            </w:pPr>
            <w:r w:rsidRPr="00E41665">
              <w:rPr>
                <w:b/>
              </w:rPr>
              <w:t>HI</w:t>
            </w:r>
          </w:p>
        </w:tc>
        <w:tc>
          <w:tcPr>
            <w:tcW w:w="8056" w:type="dxa"/>
          </w:tcPr>
          <w:p w14:paraId="5DE9C603" w14:textId="77777777" w:rsidR="001416AC" w:rsidRPr="00E41665" w:rsidRDefault="001416AC" w:rsidP="00B55E57">
            <w:pPr>
              <w:spacing w:after="120"/>
            </w:pPr>
            <w:r w:rsidRPr="00E41665">
              <w:t xml:space="preserve">Hearing Impairment </w:t>
            </w:r>
          </w:p>
        </w:tc>
      </w:tr>
      <w:tr w:rsidR="001416AC" w:rsidRPr="00E41665" w14:paraId="5CB8C335" w14:textId="77777777" w:rsidTr="00FA16CE">
        <w:trPr>
          <w:trHeight w:val="481"/>
        </w:trPr>
        <w:tc>
          <w:tcPr>
            <w:tcW w:w="1497" w:type="dxa"/>
          </w:tcPr>
          <w:p w14:paraId="7615ED7C" w14:textId="77777777" w:rsidR="001416AC" w:rsidRPr="00E41665" w:rsidRDefault="001416AC" w:rsidP="00B55E57">
            <w:pPr>
              <w:spacing w:after="120"/>
              <w:rPr>
                <w:b/>
              </w:rPr>
            </w:pPr>
            <w:r w:rsidRPr="00E41665">
              <w:rPr>
                <w:b/>
              </w:rPr>
              <w:t>LA</w:t>
            </w:r>
          </w:p>
        </w:tc>
        <w:tc>
          <w:tcPr>
            <w:tcW w:w="8056" w:type="dxa"/>
          </w:tcPr>
          <w:p w14:paraId="42449945" w14:textId="77777777" w:rsidR="001416AC" w:rsidRPr="00E41665" w:rsidRDefault="001416AC" w:rsidP="00B55E57">
            <w:pPr>
              <w:spacing w:after="120"/>
            </w:pPr>
            <w:r>
              <w:t>Local Authority</w:t>
            </w:r>
          </w:p>
        </w:tc>
      </w:tr>
      <w:tr w:rsidR="001416AC" w:rsidRPr="00E41665" w14:paraId="07E311D6" w14:textId="77777777" w:rsidTr="00FA16CE">
        <w:trPr>
          <w:trHeight w:val="481"/>
        </w:trPr>
        <w:tc>
          <w:tcPr>
            <w:tcW w:w="1497" w:type="dxa"/>
          </w:tcPr>
          <w:p w14:paraId="3725AB9C" w14:textId="77777777" w:rsidR="001416AC" w:rsidRPr="00E41665" w:rsidRDefault="001416AC" w:rsidP="00B55E57">
            <w:pPr>
              <w:spacing w:after="120"/>
              <w:rPr>
                <w:b/>
              </w:rPr>
            </w:pPr>
            <w:r w:rsidRPr="00E41665">
              <w:rPr>
                <w:b/>
              </w:rPr>
              <w:t>MQ</w:t>
            </w:r>
          </w:p>
        </w:tc>
        <w:tc>
          <w:tcPr>
            <w:tcW w:w="8056" w:type="dxa"/>
          </w:tcPr>
          <w:p w14:paraId="3B3553F8" w14:textId="77777777" w:rsidR="001416AC" w:rsidRPr="00E41665" w:rsidRDefault="001416AC" w:rsidP="00B55E57">
            <w:pPr>
              <w:spacing w:after="120"/>
            </w:pPr>
            <w:r w:rsidRPr="00E41665">
              <w:t>Mandatory Qualification</w:t>
            </w:r>
          </w:p>
        </w:tc>
      </w:tr>
      <w:tr w:rsidR="001416AC" w:rsidRPr="00E41665" w14:paraId="3D47D658" w14:textId="77777777" w:rsidTr="00FA16CE">
        <w:trPr>
          <w:trHeight w:val="492"/>
        </w:trPr>
        <w:tc>
          <w:tcPr>
            <w:tcW w:w="1497" w:type="dxa"/>
          </w:tcPr>
          <w:p w14:paraId="2D2FEFD2" w14:textId="77777777" w:rsidR="001416AC" w:rsidRPr="00E41665" w:rsidRDefault="001416AC" w:rsidP="00B55E57">
            <w:pPr>
              <w:spacing w:after="120"/>
              <w:rPr>
                <w:b/>
              </w:rPr>
            </w:pPr>
            <w:r w:rsidRPr="00E41665">
              <w:rPr>
                <w:b/>
              </w:rPr>
              <w:t>MSI</w:t>
            </w:r>
          </w:p>
        </w:tc>
        <w:tc>
          <w:tcPr>
            <w:tcW w:w="8056" w:type="dxa"/>
          </w:tcPr>
          <w:p w14:paraId="23102428" w14:textId="77777777" w:rsidR="001416AC" w:rsidRPr="00E41665" w:rsidRDefault="001416AC" w:rsidP="00B55E57">
            <w:pPr>
              <w:spacing w:after="120"/>
            </w:pPr>
            <w:r w:rsidRPr="00E41665">
              <w:t>Multi-sensory Impairment</w:t>
            </w:r>
          </w:p>
        </w:tc>
      </w:tr>
      <w:tr w:rsidR="001416AC" w:rsidRPr="00E41665" w14:paraId="35E7F5D8" w14:textId="77777777" w:rsidTr="00FA16CE">
        <w:trPr>
          <w:trHeight w:val="481"/>
        </w:trPr>
        <w:tc>
          <w:tcPr>
            <w:tcW w:w="1497" w:type="dxa"/>
          </w:tcPr>
          <w:p w14:paraId="07F6B036" w14:textId="77777777" w:rsidR="001416AC" w:rsidRPr="00E41665" w:rsidRDefault="001416AC" w:rsidP="00B55E57">
            <w:pPr>
              <w:spacing w:after="120"/>
              <w:rPr>
                <w:b/>
              </w:rPr>
            </w:pPr>
            <w:proofErr w:type="spellStart"/>
            <w:r w:rsidRPr="00E41665">
              <w:rPr>
                <w:b/>
              </w:rPr>
              <w:t>NatSIP</w:t>
            </w:r>
            <w:proofErr w:type="spellEnd"/>
          </w:p>
        </w:tc>
        <w:tc>
          <w:tcPr>
            <w:tcW w:w="8056" w:type="dxa"/>
          </w:tcPr>
          <w:p w14:paraId="1DD2AA9C" w14:textId="77777777" w:rsidR="001416AC" w:rsidRPr="00E41665" w:rsidRDefault="001416AC" w:rsidP="00B55E57">
            <w:pPr>
              <w:spacing w:after="120"/>
            </w:pPr>
            <w:r w:rsidRPr="00E41665">
              <w:t>National Sensory Impairment Partnership</w:t>
            </w:r>
          </w:p>
        </w:tc>
      </w:tr>
      <w:tr w:rsidR="001416AC" w:rsidRPr="00E41665" w14:paraId="3F6CA01D" w14:textId="77777777" w:rsidTr="00FA16CE">
        <w:trPr>
          <w:trHeight w:val="833"/>
        </w:trPr>
        <w:tc>
          <w:tcPr>
            <w:tcW w:w="1497" w:type="dxa"/>
          </w:tcPr>
          <w:p w14:paraId="1ECF2AC6" w14:textId="77777777" w:rsidR="001416AC" w:rsidRPr="00E41665" w:rsidRDefault="001416AC" w:rsidP="00B55E57">
            <w:pPr>
              <w:spacing w:after="120"/>
              <w:rPr>
                <w:b/>
              </w:rPr>
            </w:pPr>
            <w:r w:rsidRPr="00E41665">
              <w:rPr>
                <w:b/>
              </w:rPr>
              <w:t>QTMSI</w:t>
            </w:r>
          </w:p>
        </w:tc>
        <w:tc>
          <w:tcPr>
            <w:tcW w:w="8056" w:type="dxa"/>
          </w:tcPr>
          <w:p w14:paraId="0CA8B677" w14:textId="77777777" w:rsidR="001416AC" w:rsidRPr="00E41665" w:rsidRDefault="001416AC" w:rsidP="00B55E57">
            <w:pPr>
              <w:spacing w:after="120"/>
            </w:pPr>
            <w:r w:rsidRPr="00E41665">
              <w:t>Qualified Teacher of children and young people with Multi-Sensory Impairment</w:t>
            </w:r>
          </w:p>
        </w:tc>
      </w:tr>
      <w:tr w:rsidR="001416AC" w:rsidRPr="00E41665" w14:paraId="367D534B" w14:textId="77777777" w:rsidTr="00FA16CE">
        <w:trPr>
          <w:trHeight w:val="833"/>
        </w:trPr>
        <w:tc>
          <w:tcPr>
            <w:tcW w:w="1497" w:type="dxa"/>
          </w:tcPr>
          <w:p w14:paraId="45474ACE" w14:textId="77777777" w:rsidR="001416AC" w:rsidRPr="00E41665" w:rsidRDefault="001416AC" w:rsidP="00B55E57">
            <w:pPr>
              <w:spacing w:after="120"/>
              <w:rPr>
                <w:b/>
              </w:rPr>
            </w:pPr>
            <w:r w:rsidRPr="00E41665">
              <w:rPr>
                <w:b/>
              </w:rPr>
              <w:t>QTVI</w:t>
            </w:r>
          </w:p>
        </w:tc>
        <w:tc>
          <w:tcPr>
            <w:tcW w:w="8056" w:type="dxa"/>
          </w:tcPr>
          <w:p w14:paraId="5B0DAB9C" w14:textId="77777777" w:rsidR="001416AC" w:rsidRPr="00E41665" w:rsidRDefault="001416AC" w:rsidP="00B55E57">
            <w:pPr>
              <w:spacing w:after="120"/>
            </w:pPr>
            <w:r w:rsidRPr="00E41665">
              <w:t>Qualified Teacher of children and young people with Vision Impairment</w:t>
            </w:r>
          </w:p>
        </w:tc>
      </w:tr>
      <w:tr w:rsidR="001416AC" w:rsidRPr="00E41665" w14:paraId="2DC95255" w14:textId="77777777" w:rsidTr="00FA16CE">
        <w:trPr>
          <w:trHeight w:val="481"/>
        </w:trPr>
        <w:tc>
          <w:tcPr>
            <w:tcW w:w="1497" w:type="dxa"/>
          </w:tcPr>
          <w:p w14:paraId="00F13300" w14:textId="77777777" w:rsidR="001416AC" w:rsidRPr="00E41665" w:rsidRDefault="001416AC" w:rsidP="00B55E57">
            <w:pPr>
              <w:spacing w:after="120"/>
              <w:rPr>
                <w:b/>
              </w:rPr>
            </w:pPr>
            <w:r w:rsidRPr="00E41665">
              <w:rPr>
                <w:b/>
              </w:rPr>
              <w:t>SEN</w:t>
            </w:r>
          </w:p>
        </w:tc>
        <w:tc>
          <w:tcPr>
            <w:tcW w:w="8056" w:type="dxa"/>
          </w:tcPr>
          <w:p w14:paraId="403E36CE" w14:textId="77777777" w:rsidR="001416AC" w:rsidRPr="00E41665" w:rsidRDefault="001416AC" w:rsidP="00B55E57">
            <w:pPr>
              <w:spacing w:after="120"/>
            </w:pPr>
            <w:r w:rsidRPr="00E41665">
              <w:t>Special Educational Needs</w:t>
            </w:r>
          </w:p>
        </w:tc>
      </w:tr>
      <w:tr w:rsidR="001416AC" w:rsidRPr="00E41665" w14:paraId="3C35327E" w14:textId="77777777" w:rsidTr="00FA16CE">
        <w:trPr>
          <w:trHeight w:val="481"/>
        </w:trPr>
        <w:tc>
          <w:tcPr>
            <w:tcW w:w="1497" w:type="dxa"/>
          </w:tcPr>
          <w:p w14:paraId="1F684F7D" w14:textId="77777777" w:rsidR="001416AC" w:rsidRPr="00E41665" w:rsidRDefault="001416AC" w:rsidP="00B55E57">
            <w:pPr>
              <w:spacing w:after="120"/>
              <w:rPr>
                <w:b/>
              </w:rPr>
            </w:pPr>
            <w:r w:rsidRPr="00E41665">
              <w:rPr>
                <w:b/>
              </w:rPr>
              <w:t>SEND</w:t>
            </w:r>
          </w:p>
        </w:tc>
        <w:tc>
          <w:tcPr>
            <w:tcW w:w="8056" w:type="dxa"/>
          </w:tcPr>
          <w:p w14:paraId="7FBE2242" w14:textId="77777777" w:rsidR="001416AC" w:rsidRPr="00E41665" w:rsidRDefault="001416AC" w:rsidP="00B55E57">
            <w:pPr>
              <w:spacing w:after="120"/>
            </w:pPr>
            <w:r w:rsidRPr="00E41665">
              <w:t>Special Educational Needs and Disabilities</w:t>
            </w:r>
          </w:p>
        </w:tc>
      </w:tr>
      <w:tr w:rsidR="001416AC" w:rsidRPr="00E41665" w14:paraId="6F7AECC1" w14:textId="77777777" w:rsidTr="00FA16CE">
        <w:trPr>
          <w:trHeight w:val="481"/>
        </w:trPr>
        <w:tc>
          <w:tcPr>
            <w:tcW w:w="1497" w:type="dxa"/>
          </w:tcPr>
          <w:p w14:paraId="5FDED0A2" w14:textId="77777777" w:rsidR="001416AC" w:rsidRPr="00E41665" w:rsidRDefault="001416AC" w:rsidP="00B55E57">
            <w:pPr>
              <w:spacing w:after="120"/>
              <w:rPr>
                <w:b/>
              </w:rPr>
            </w:pPr>
            <w:r w:rsidRPr="00E41665">
              <w:rPr>
                <w:b/>
              </w:rPr>
              <w:t>TA</w:t>
            </w:r>
          </w:p>
        </w:tc>
        <w:tc>
          <w:tcPr>
            <w:tcW w:w="8056" w:type="dxa"/>
          </w:tcPr>
          <w:p w14:paraId="01F6ADEC" w14:textId="77777777" w:rsidR="001416AC" w:rsidRPr="00E41665" w:rsidRDefault="001416AC" w:rsidP="00B55E57">
            <w:pPr>
              <w:spacing w:after="120"/>
            </w:pPr>
            <w:r w:rsidRPr="00E41665">
              <w:t>Teaching Assistant</w:t>
            </w:r>
          </w:p>
        </w:tc>
      </w:tr>
      <w:tr w:rsidR="001416AC" w:rsidRPr="00E41665" w14:paraId="10A7FDB8" w14:textId="77777777" w:rsidTr="00FA16CE">
        <w:trPr>
          <w:trHeight w:val="481"/>
        </w:trPr>
        <w:tc>
          <w:tcPr>
            <w:tcW w:w="1497" w:type="dxa"/>
          </w:tcPr>
          <w:p w14:paraId="59D9A6E5" w14:textId="77777777" w:rsidR="001416AC" w:rsidRPr="00E41665" w:rsidRDefault="001416AC" w:rsidP="00B55E57">
            <w:pPr>
              <w:spacing w:after="120"/>
              <w:rPr>
                <w:b/>
              </w:rPr>
            </w:pPr>
            <w:proofErr w:type="spellStart"/>
            <w:r w:rsidRPr="00E41665">
              <w:rPr>
                <w:b/>
              </w:rPr>
              <w:t>ToD</w:t>
            </w:r>
            <w:proofErr w:type="spellEnd"/>
          </w:p>
        </w:tc>
        <w:tc>
          <w:tcPr>
            <w:tcW w:w="8056" w:type="dxa"/>
          </w:tcPr>
          <w:p w14:paraId="0DE476A3" w14:textId="77777777" w:rsidR="001416AC" w:rsidRPr="00E41665" w:rsidRDefault="001416AC" w:rsidP="00B55E57">
            <w:pPr>
              <w:spacing w:after="120"/>
            </w:pPr>
            <w:r w:rsidRPr="00E41665">
              <w:t>Teacher of the Deaf</w:t>
            </w:r>
          </w:p>
        </w:tc>
      </w:tr>
      <w:tr w:rsidR="001416AC" w:rsidRPr="00E41665" w14:paraId="75726A6B" w14:textId="77777777" w:rsidTr="00FA16CE">
        <w:trPr>
          <w:trHeight w:val="481"/>
        </w:trPr>
        <w:tc>
          <w:tcPr>
            <w:tcW w:w="1497" w:type="dxa"/>
          </w:tcPr>
          <w:p w14:paraId="17BD3FA8" w14:textId="77777777" w:rsidR="001416AC" w:rsidRPr="00E41665" w:rsidRDefault="001416AC" w:rsidP="00B55E57">
            <w:pPr>
              <w:spacing w:after="120"/>
              <w:rPr>
                <w:b/>
              </w:rPr>
            </w:pPr>
            <w:r w:rsidRPr="00E41665">
              <w:rPr>
                <w:b/>
              </w:rPr>
              <w:t>VI</w:t>
            </w:r>
          </w:p>
        </w:tc>
        <w:tc>
          <w:tcPr>
            <w:tcW w:w="8056" w:type="dxa"/>
          </w:tcPr>
          <w:p w14:paraId="523FD244" w14:textId="77777777" w:rsidR="001416AC" w:rsidRPr="00E41665" w:rsidRDefault="001416AC" w:rsidP="00B55E57">
            <w:pPr>
              <w:spacing w:after="120"/>
            </w:pPr>
            <w:r w:rsidRPr="00E41665">
              <w:t>Vision Impairment</w:t>
            </w:r>
          </w:p>
        </w:tc>
      </w:tr>
    </w:tbl>
    <w:p w14:paraId="41698468" w14:textId="77777777" w:rsidR="001416AC" w:rsidRPr="00D77DDD" w:rsidRDefault="001416AC" w:rsidP="001416AC"/>
    <w:p w14:paraId="0809553D" w14:textId="040223D8" w:rsidR="001416AC" w:rsidRDefault="001416AC" w:rsidP="001416AC">
      <w:pPr>
        <w:pStyle w:val="paragraph"/>
        <w:spacing w:before="0" w:beforeAutospacing="0" w:after="0" w:afterAutospacing="0"/>
        <w:textAlignment w:val="baseline"/>
      </w:pPr>
    </w:p>
    <w:p w14:paraId="6125BA7B" w14:textId="1F3A11C2" w:rsidR="001416AC" w:rsidRDefault="001416AC" w:rsidP="001416AC">
      <w:pPr>
        <w:pStyle w:val="paragraph"/>
        <w:spacing w:before="0" w:beforeAutospacing="0" w:after="0" w:afterAutospacing="0"/>
        <w:textAlignment w:val="baseline"/>
      </w:pPr>
    </w:p>
    <w:p w14:paraId="11C7F7E7" w14:textId="77777777" w:rsidR="001416AC" w:rsidRPr="00BD6952" w:rsidRDefault="001416AC" w:rsidP="001416AC">
      <w:pPr>
        <w:pStyle w:val="paragraph"/>
        <w:spacing w:before="0" w:beforeAutospacing="0" w:after="0" w:afterAutospacing="0"/>
        <w:textAlignment w:val="baseline"/>
      </w:pPr>
    </w:p>
    <w:p w14:paraId="114DF32B" w14:textId="28FCE917" w:rsidR="00FB6FB5" w:rsidRDefault="00FB6FB5" w:rsidP="00CA384C">
      <w:pPr>
        <w:pStyle w:val="Heading1"/>
        <w:numPr>
          <w:ilvl w:val="0"/>
          <w:numId w:val="0"/>
        </w:numPr>
      </w:pPr>
      <w:bookmarkStart w:id="19" w:name="_Toc129775427"/>
      <w:r>
        <w:lastRenderedPageBreak/>
        <w:t xml:space="preserve">Executive </w:t>
      </w:r>
      <w:r w:rsidR="00A177FA">
        <w:t>Summary</w:t>
      </w:r>
      <w:bookmarkEnd w:id="19"/>
      <w:r w:rsidR="00007618">
        <w:t xml:space="preserve"> </w:t>
      </w:r>
    </w:p>
    <w:p w14:paraId="25F0BD2F" w14:textId="77777777" w:rsidR="00FB6FB5" w:rsidRPr="00FB6FB5" w:rsidRDefault="00FB6FB5" w:rsidP="00CA384C"/>
    <w:p w14:paraId="32E12B24" w14:textId="14F387F8" w:rsidR="00A177FA" w:rsidRPr="00CA384C" w:rsidRDefault="004C7A32" w:rsidP="00CA384C">
      <w:pPr>
        <w:rPr>
          <w:bCs/>
          <w:sz w:val="36"/>
          <w:szCs w:val="24"/>
        </w:rPr>
      </w:pPr>
      <w:r w:rsidRPr="00CA384C">
        <w:rPr>
          <w:b/>
          <w:bCs/>
          <w:sz w:val="36"/>
          <w:szCs w:val="24"/>
        </w:rPr>
        <w:t>Inconsistent support</w:t>
      </w:r>
      <w:r w:rsidR="003365C5" w:rsidRPr="00CA384C">
        <w:rPr>
          <w:b/>
          <w:bCs/>
          <w:sz w:val="36"/>
          <w:szCs w:val="24"/>
        </w:rPr>
        <w:t xml:space="preserve"> is letting </w:t>
      </w:r>
      <w:r w:rsidR="07F09445" w:rsidRPr="00CA384C">
        <w:rPr>
          <w:b/>
          <w:bCs/>
          <w:sz w:val="36"/>
          <w:szCs w:val="24"/>
        </w:rPr>
        <w:t xml:space="preserve">children and </w:t>
      </w:r>
      <w:r w:rsidR="003365C5" w:rsidRPr="00CA384C">
        <w:rPr>
          <w:b/>
          <w:bCs/>
          <w:sz w:val="36"/>
          <w:szCs w:val="24"/>
        </w:rPr>
        <w:t xml:space="preserve">young </w:t>
      </w:r>
      <w:r w:rsidR="004C450E" w:rsidRPr="00CA384C">
        <w:rPr>
          <w:b/>
          <w:bCs/>
          <w:sz w:val="36"/>
          <w:szCs w:val="24"/>
        </w:rPr>
        <w:t>people down</w:t>
      </w:r>
      <w:bookmarkEnd w:id="16"/>
    </w:p>
    <w:p w14:paraId="7195F89E" w14:textId="77777777" w:rsidR="003365C5" w:rsidRPr="00453142" w:rsidRDefault="003365C5" w:rsidP="004C450E"/>
    <w:p w14:paraId="55BDC173" w14:textId="61B66D8C" w:rsidR="006F1634" w:rsidRDefault="00504BB5" w:rsidP="00C7790F">
      <w:bookmarkStart w:id="20" w:name="_Hlk125980125"/>
      <w:r w:rsidRPr="00504BB5">
        <w:t>Specialist support for children and young people with VI is vital, and there is clear evidence that this service has become increasingly under-resourced in recent years. Unfortunately, the latest data confirms this trend.</w:t>
      </w:r>
      <w:r w:rsidR="00FA16CE">
        <w:t xml:space="preserve"> </w:t>
      </w:r>
      <w:r w:rsidR="00C7790F" w:rsidRPr="008D60CF">
        <w:t>Our FOI</w:t>
      </w:r>
      <w:r w:rsidR="001B717E">
        <w:t xml:space="preserve"> request</w:t>
      </w:r>
      <w:r>
        <w:t xml:space="preserve"> to local authorities</w:t>
      </w:r>
      <w:r w:rsidR="00C7790F" w:rsidRPr="008D60CF">
        <w:t xml:space="preserve"> </w:t>
      </w:r>
      <w:r w:rsidR="003A45F0">
        <w:t>shows</w:t>
      </w:r>
      <w:r w:rsidR="00C7790F" w:rsidRPr="008D60CF">
        <w:t xml:space="preserve"> that the specialists needed to teach and support the development of specialist skills are under increasing pressure. </w:t>
      </w:r>
    </w:p>
    <w:p w14:paraId="3C70742D" w14:textId="77777777" w:rsidR="007A5825" w:rsidRDefault="007A5825" w:rsidP="00C7790F"/>
    <w:p w14:paraId="2EB631D4" w14:textId="605EAC97" w:rsidR="006F1634" w:rsidRDefault="003A45F0" w:rsidP="006F1634">
      <w:r>
        <w:t>Despite</w:t>
      </w:r>
      <w:r w:rsidR="006F1634">
        <w:t xml:space="preserve"> a greater demand for services, </w:t>
      </w:r>
      <w:r>
        <w:t>there is a</w:t>
      </w:r>
      <w:r w:rsidR="006F1634">
        <w:t xml:space="preserve"> variation in service structures, </w:t>
      </w:r>
      <w:r w:rsidR="00FA16CE">
        <w:t>practices,</w:t>
      </w:r>
      <w:r w:rsidR="006F1634">
        <w:t xml:space="preserve"> and budgets across English local authorities. </w:t>
      </w:r>
    </w:p>
    <w:p w14:paraId="40F51C3C" w14:textId="6BC607E4" w:rsidR="00C642A8" w:rsidRDefault="00C355B6" w:rsidP="006F1634">
      <w:r>
        <w:t xml:space="preserve">This </w:t>
      </w:r>
      <w:r w:rsidR="006F1634">
        <w:t xml:space="preserve">patchwork of inconsistent support has the potential to leave some children and young people without the support they </w:t>
      </w:r>
      <w:r>
        <w:t xml:space="preserve">need to </w:t>
      </w:r>
      <w:r w:rsidR="00C642A8">
        <w:t>access e</w:t>
      </w:r>
      <w:r w:rsidR="006F1634">
        <w:t>ducation</w:t>
      </w:r>
      <w:r w:rsidR="00C642A8">
        <w:t xml:space="preserve">. </w:t>
      </w:r>
    </w:p>
    <w:p w14:paraId="27299969" w14:textId="77777777" w:rsidR="007A5825" w:rsidRDefault="007A5825" w:rsidP="006F1634"/>
    <w:p w14:paraId="660DA5E7" w14:textId="792E3A73" w:rsidR="00A177FA" w:rsidRDefault="00C642A8" w:rsidP="006F1634">
      <w:r>
        <w:t xml:space="preserve">Those that miss out, </w:t>
      </w:r>
      <w:r w:rsidR="006F1634">
        <w:t>also miss all the opportunities childhood development and learning has to offer.</w:t>
      </w:r>
      <w:r w:rsidR="00C7790F" w:rsidRPr="008D60CF">
        <w:t xml:space="preserve"> </w:t>
      </w:r>
    </w:p>
    <w:bookmarkEnd w:id="20"/>
    <w:p w14:paraId="2A195C9B" w14:textId="131C7103" w:rsidR="00C7790F" w:rsidRDefault="00C7790F"/>
    <w:p w14:paraId="1B40269A" w14:textId="38398ABE" w:rsidR="00DC7F4C" w:rsidRPr="008D60CF" w:rsidRDefault="00DC7F4C" w:rsidP="00DC7F4C"/>
    <w:p w14:paraId="638759E6" w14:textId="26183F48" w:rsidR="00EC518C" w:rsidRPr="00CA384C" w:rsidRDefault="00FB6FB5" w:rsidP="00FA16CE">
      <w:pPr>
        <w:spacing w:after="240"/>
        <w:rPr>
          <w:bCs/>
          <w:sz w:val="36"/>
          <w:szCs w:val="24"/>
        </w:rPr>
      </w:pPr>
      <w:bookmarkStart w:id="21" w:name="_Toc125543649"/>
      <w:r w:rsidRPr="00CA384C">
        <w:rPr>
          <w:b/>
          <w:bCs/>
          <w:sz w:val="36"/>
          <w:szCs w:val="24"/>
        </w:rPr>
        <w:t>Key</w:t>
      </w:r>
      <w:r w:rsidR="00EC518C" w:rsidRPr="00CA384C">
        <w:rPr>
          <w:b/>
          <w:bCs/>
          <w:sz w:val="36"/>
          <w:szCs w:val="24"/>
        </w:rPr>
        <w:t xml:space="preserve"> findings</w:t>
      </w:r>
    </w:p>
    <w:p w14:paraId="5A90C5DD" w14:textId="77777777" w:rsidR="00EC518C" w:rsidRPr="00E41665" w:rsidRDefault="00EC518C" w:rsidP="00FA16CE">
      <w:pPr>
        <w:pStyle w:val="ListBullet"/>
        <w:numPr>
          <w:ilvl w:val="0"/>
          <w:numId w:val="0"/>
        </w:numPr>
        <w:spacing w:line="276" w:lineRule="auto"/>
        <w:jc w:val="both"/>
        <w:rPr>
          <w:bCs/>
        </w:rPr>
      </w:pPr>
      <w:r w:rsidRPr="00E41665">
        <w:rPr>
          <w:b/>
        </w:rPr>
        <w:t>Caseload and capacity</w:t>
      </w:r>
      <w:r>
        <w:rPr>
          <w:b/>
        </w:rPr>
        <w:t xml:space="preserve"> - rising caseloads</w:t>
      </w:r>
    </w:p>
    <w:p w14:paraId="7F038C0B" w14:textId="77777777" w:rsidR="00EC518C" w:rsidRDefault="00EC518C" w:rsidP="00FA16CE">
      <w:pPr>
        <w:pStyle w:val="ListBullet"/>
        <w:numPr>
          <w:ilvl w:val="0"/>
          <w:numId w:val="1"/>
        </w:numPr>
        <w:spacing w:after="120"/>
        <w:ind w:left="357" w:hanging="357"/>
      </w:pPr>
      <w:r>
        <w:t xml:space="preserve">Total number of children and young people on active vision impairment service caseloads, or known to services, is 30,453 across 137 LAs in England. </w:t>
      </w:r>
    </w:p>
    <w:p w14:paraId="46207D41" w14:textId="77777777" w:rsidR="00EC518C" w:rsidRPr="00E41665" w:rsidRDefault="00EC518C" w:rsidP="00FA16CE">
      <w:pPr>
        <w:pStyle w:val="ListBullet"/>
        <w:numPr>
          <w:ilvl w:val="0"/>
          <w:numId w:val="1"/>
        </w:numPr>
        <w:spacing w:after="120"/>
        <w:ind w:left="357" w:hanging="357"/>
      </w:pPr>
      <w:r w:rsidRPr="0C6C5761">
        <w:rPr>
          <w:lang w:eastAsia="en-GB"/>
        </w:rPr>
        <w:t xml:space="preserve">61 per cent of LAs have reported a decrease or freeze in the number of QTVIs over the last year despite rising caseloads. </w:t>
      </w:r>
      <w:r>
        <w:t>This is likely to affect support for almost half of all CYP accessing VI specialist support.</w:t>
      </w:r>
    </w:p>
    <w:p w14:paraId="2FEB98C9" w14:textId="384A3095" w:rsidR="00FA16CE" w:rsidRDefault="00EC518C" w:rsidP="00FA16CE">
      <w:pPr>
        <w:pStyle w:val="ListBullet"/>
        <w:numPr>
          <w:ilvl w:val="0"/>
          <w:numId w:val="1"/>
        </w:numPr>
        <w:spacing w:after="120"/>
        <w:ind w:left="357" w:hanging="357"/>
      </w:pPr>
      <w:r w:rsidRPr="0C6C5761">
        <w:rPr>
          <w:lang w:eastAsia="en-GB"/>
        </w:rPr>
        <w:t>There are a total of 584 FTE posts for QTVIs across 137 local authorities; this figure is inclusive of those in training or due to begin training.</w:t>
      </w:r>
    </w:p>
    <w:p w14:paraId="33A8DAF1" w14:textId="7C511EB9" w:rsidR="00DA1ED2" w:rsidRDefault="00EC518C" w:rsidP="00FA16CE">
      <w:pPr>
        <w:pStyle w:val="ListBullet"/>
        <w:numPr>
          <w:ilvl w:val="0"/>
          <w:numId w:val="1"/>
        </w:numPr>
        <w:spacing w:after="120"/>
        <w:ind w:left="357" w:hanging="357"/>
      </w:pPr>
      <w:r>
        <w:t>Of the authorities that provided data, the total number of CYP that use braille as their sole or main literacy medium across England is 652</w:t>
      </w:r>
      <w:r w:rsidR="00F96B54">
        <w:t xml:space="preserve">, </w:t>
      </w:r>
      <w:r>
        <w:t xml:space="preserve">a 6 per cent increase over the past five years. </w:t>
      </w:r>
    </w:p>
    <w:p w14:paraId="4F1498E4" w14:textId="77777777" w:rsidR="00FA16CE" w:rsidRPr="00FA16CE" w:rsidRDefault="00FA16CE" w:rsidP="00FA16CE">
      <w:pPr>
        <w:pStyle w:val="ListBullet"/>
        <w:numPr>
          <w:ilvl w:val="0"/>
          <w:numId w:val="0"/>
        </w:numPr>
        <w:spacing w:after="120"/>
        <w:ind w:left="357"/>
      </w:pPr>
    </w:p>
    <w:p w14:paraId="6AF5E92E" w14:textId="77777777" w:rsidR="00EC518C" w:rsidRDefault="00EC518C" w:rsidP="00FA16CE">
      <w:pPr>
        <w:pStyle w:val="ListBullet"/>
        <w:numPr>
          <w:ilvl w:val="0"/>
          <w:numId w:val="0"/>
        </w:numPr>
        <w:spacing w:line="276" w:lineRule="auto"/>
        <w:rPr>
          <w:b/>
        </w:rPr>
      </w:pPr>
      <w:r w:rsidRPr="00E41665">
        <w:rPr>
          <w:b/>
        </w:rPr>
        <w:lastRenderedPageBreak/>
        <w:t>Service provision</w:t>
      </w:r>
      <w:r>
        <w:rPr>
          <w:b/>
        </w:rPr>
        <w:t xml:space="preserve"> – nearly half of budgets have had real term cuts</w:t>
      </w:r>
    </w:p>
    <w:p w14:paraId="4454E803" w14:textId="77777777" w:rsidR="00EC518C" w:rsidRDefault="00EC518C" w:rsidP="00FA16CE">
      <w:pPr>
        <w:pStyle w:val="ListBullet"/>
        <w:numPr>
          <w:ilvl w:val="0"/>
          <w:numId w:val="1"/>
        </w:numPr>
        <w:spacing w:after="120"/>
        <w:ind w:left="357" w:hanging="357"/>
      </w:pPr>
      <w:r>
        <w:t>42 per cent</w:t>
      </w:r>
      <w:r w:rsidRPr="00E41665">
        <w:t xml:space="preserve"> of authorities have seen their budgets cut or frozen over the last year. </w:t>
      </w:r>
    </w:p>
    <w:p w14:paraId="0855A3C5" w14:textId="77777777" w:rsidR="00EC518C" w:rsidRDefault="00EC518C" w:rsidP="00FA16CE">
      <w:pPr>
        <w:pStyle w:val="ListBullet"/>
        <w:numPr>
          <w:ilvl w:val="0"/>
          <w:numId w:val="1"/>
        </w:numPr>
        <w:spacing w:after="120"/>
        <w:ind w:left="357" w:hanging="357"/>
      </w:pPr>
      <w:r>
        <w:t xml:space="preserve">The </w:t>
      </w:r>
      <w:r w:rsidRPr="00E41665">
        <w:t>number of LAs that have seen budget cuts has increased by 12</w:t>
      </w:r>
      <w:r>
        <w:t xml:space="preserve"> per cent since last year</w:t>
      </w:r>
      <w:r w:rsidRPr="00E41665">
        <w:t>.</w:t>
      </w:r>
    </w:p>
    <w:p w14:paraId="58786686" w14:textId="77777777" w:rsidR="00EC518C" w:rsidRDefault="00EC518C" w:rsidP="00FA16CE">
      <w:pPr>
        <w:pStyle w:val="ListBullet"/>
        <w:numPr>
          <w:ilvl w:val="0"/>
          <w:numId w:val="1"/>
        </w:numPr>
        <w:spacing w:after="120"/>
        <w:ind w:left="357" w:hanging="357"/>
      </w:pPr>
      <w:r w:rsidRPr="00E41665">
        <w:t xml:space="preserve">In the past five years, 29 authorities have seen their budget cut at least once, which represents </w:t>
      </w:r>
      <w:r>
        <w:t xml:space="preserve">a quarter </w:t>
      </w:r>
      <w:r w:rsidRPr="00E41665">
        <w:t>of local authoritie</w:t>
      </w:r>
      <w:r>
        <w:t>s.</w:t>
      </w:r>
    </w:p>
    <w:p w14:paraId="1E021818" w14:textId="77777777" w:rsidR="00EC518C" w:rsidRPr="00E41665" w:rsidRDefault="00EC518C" w:rsidP="00EC518C">
      <w:pPr>
        <w:pStyle w:val="ListBullet"/>
        <w:numPr>
          <w:ilvl w:val="0"/>
          <w:numId w:val="0"/>
        </w:numPr>
        <w:ind w:left="360"/>
      </w:pPr>
    </w:p>
    <w:p w14:paraId="51631C65" w14:textId="77777777" w:rsidR="00EC518C" w:rsidRDefault="00EC518C" w:rsidP="00FA16CE">
      <w:pPr>
        <w:pStyle w:val="ListBullet"/>
        <w:numPr>
          <w:ilvl w:val="0"/>
          <w:numId w:val="0"/>
        </w:numPr>
        <w:spacing w:line="276" w:lineRule="auto"/>
        <w:rPr>
          <w:b/>
        </w:rPr>
      </w:pPr>
      <w:r w:rsidRPr="00E41665">
        <w:rPr>
          <w:b/>
        </w:rPr>
        <w:t>Habilitation</w:t>
      </w:r>
      <w:r>
        <w:rPr>
          <w:b/>
        </w:rPr>
        <w:t xml:space="preserve"> – waiting for assessment</w:t>
      </w:r>
    </w:p>
    <w:p w14:paraId="14D15CD2" w14:textId="6B5AF0A4" w:rsidR="00EC518C" w:rsidRPr="00E41665" w:rsidRDefault="00EC518C" w:rsidP="00FA16CE">
      <w:pPr>
        <w:pStyle w:val="ListBullet"/>
        <w:numPr>
          <w:ilvl w:val="0"/>
          <w:numId w:val="1"/>
        </w:numPr>
        <w:spacing w:after="120"/>
        <w:ind w:left="357" w:hanging="357"/>
        <w:rPr>
          <w:lang w:eastAsia="en-GB"/>
        </w:rPr>
      </w:pPr>
      <w:r w:rsidRPr="0C6C5761">
        <w:rPr>
          <w:lang w:eastAsia="en-GB"/>
        </w:rPr>
        <w:t xml:space="preserve">Of the total children on the LA VI service active caseload, </w:t>
      </w:r>
      <w:r w:rsidR="00E8372A">
        <w:rPr>
          <w:lang w:eastAsia="en-GB"/>
        </w:rPr>
        <w:t>16</w:t>
      </w:r>
      <w:r w:rsidRPr="0C6C5761">
        <w:rPr>
          <w:lang w:eastAsia="en-GB"/>
        </w:rPr>
        <w:t xml:space="preserve"> per cent are receiving or waiting to be assessed for habilitation support.</w:t>
      </w:r>
    </w:p>
    <w:p w14:paraId="3EE29212" w14:textId="69B9A1E9" w:rsidR="00EC518C" w:rsidRPr="00E41665" w:rsidRDefault="00EC518C" w:rsidP="00FA16CE">
      <w:pPr>
        <w:pStyle w:val="ListBullet"/>
        <w:numPr>
          <w:ilvl w:val="0"/>
          <w:numId w:val="1"/>
        </w:numPr>
        <w:spacing w:after="120"/>
        <w:ind w:left="357" w:hanging="357"/>
      </w:pPr>
      <w:r>
        <w:t>4,</w:t>
      </w:r>
      <w:r w:rsidR="00E8372A">
        <w:t>221</w:t>
      </w:r>
      <w:r w:rsidRPr="00E41665">
        <w:t xml:space="preserve"> CYP are currently on </w:t>
      </w:r>
      <w:r w:rsidRPr="00E41665">
        <w:rPr>
          <w:lang w:eastAsia="en-GB"/>
        </w:rPr>
        <w:t>active habilitation caseload</w:t>
      </w:r>
      <w:r>
        <w:rPr>
          <w:lang w:eastAsia="en-GB"/>
        </w:rPr>
        <w:t>s</w:t>
      </w:r>
      <w:r w:rsidRPr="00E41665">
        <w:rPr>
          <w:lang w:eastAsia="en-GB"/>
        </w:rPr>
        <w:t>,</w:t>
      </w:r>
      <w:r w:rsidRPr="00E41665">
        <w:t xml:space="preserve"> with </w:t>
      </w:r>
      <w:r w:rsidRPr="00E41665">
        <w:rPr>
          <w:bCs/>
        </w:rPr>
        <w:t>5</w:t>
      </w:r>
      <w:r>
        <w:rPr>
          <w:bCs/>
        </w:rPr>
        <w:t>63</w:t>
      </w:r>
      <w:r w:rsidRPr="00E41665">
        <w:t xml:space="preserve"> CYP waiting to be assessed.</w:t>
      </w:r>
      <w:r>
        <w:t xml:space="preserve"> This is a 7 per cent increase from last year.</w:t>
      </w:r>
    </w:p>
    <w:p w14:paraId="150A95B5" w14:textId="77777777" w:rsidR="00EC518C" w:rsidRDefault="00EC518C" w:rsidP="00EC518C">
      <w:pPr>
        <w:pStyle w:val="ListBullet"/>
        <w:numPr>
          <w:ilvl w:val="0"/>
          <w:numId w:val="0"/>
        </w:numPr>
      </w:pPr>
    </w:p>
    <w:p w14:paraId="521DFA13" w14:textId="77777777" w:rsidR="00EC518C" w:rsidRDefault="00EC518C" w:rsidP="00EC518C">
      <w:pPr>
        <w:pStyle w:val="ListBullet"/>
        <w:numPr>
          <w:ilvl w:val="0"/>
          <w:numId w:val="0"/>
        </w:numPr>
      </w:pPr>
    </w:p>
    <w:p w14:paraId="630F8304" w14:textId="563A5743" w:rsidR="00EC518C" w:rsidRDefault="00EC518C" w:rsidP="00EC518C">
      <w:pPr>
        <w:pStyle w:val="ListBullet"/>
        <w:numPr>
          <w:ilvl w:val="0"/>
          <w:numId w:val="0"/>
        </w:numPr>
      </w:pPr>
    </w:p>
    <w:p w14:paraId="17328EB1" w14:textId="46C21752" w:rsidR="00EC518C" w:rsidRDefault="00EC518C" w:rsidP="00EC518C">
      <w:pPr>
        <w:pStyle w:val="ListBullet"/>
        <w:numPr>
          <w:ilvl w:val="0"/>
          <w:numId w:val="0"/>
        </w:numPr>
      </w:pPr>
    </w:p>
    <w:p w14:paraId="652221AB" w14:textId="03A753CE" w:rsidR="00EC518C" w:rsidRDefault="00FB6FB5" w:rsidP="00CA384C">
      <w:r>
        <w:br w:type="page"/>
      </w:r>
    </w:p>
    <w:p w14:paraId="79F10AF7" w14:textId="589A6285" w:rsidR="00EC518C" w:rsidRPr="00DA1ED2" w:rsidRDefault="00DA1ED2">
      <w:pPr>
        <w:pStyle w:val="Heading1"/>
        <w:ind w:left="709" w:hanging="709"/>
      </w:pPr>
      <w:bookmarkStart w:id="22" w:name="_Toc129775428"/>
      <w:bookmarkStart w:id="23" w:name="_Toc125543650"/>
      <w:bookmarkEnd w:id="17"/>
      <w:bookmarkEnd w:id="21"/>
      <w:r w:rsidRPr="00DA1ED2">
        <w:lastRenderedPageBreak/>
        <w:t>Introduction</w:t>
      </w:r>
      <w:bookmarkEnd w:id="22"/>
      <w:r w:rsidRPr="00DA1ED2">
        <w:t xml:space="preserve"> </w:t>
      </w:r>
    </w:p>
    <w:p w14:paraId="217282B2" w14:textId="77777777" w:rsidR="00DA1ED2" w:rsidRDefault="00DA1ED2" w:rsidP="00EC518C">
      <w:r w:rsidRPr="00DA1ED2">
        <w:t xml:space="preserve">Provision for specialist educational support for children with a vision impairment (V I) is essential to ensure they are not disadvantaged in their education. </w:t>
      </w:r>
    </w:p>
    <w:p w14:paraId="453A2D47" w14:textId="77777777" w:rsidR="00DA1ED2" w:rsidRDefault="00DA1ED2" w:rsidP="00EC518C"/>
    <w:p w14:paraId="2F3EA7BB" w14:textId="119611EB" w:rsidR="00EC518C" w:rsidRPr="00E41665" w:rsidRDefault="00EC518C" w:rsidP="00EC518C">
      <w:r w:rsidRPr="00E41665">
        <w:t>In October 2022, RNIB contacted all 152 local authorities in England, asking a range of questions about current and future education provision for children and young people with vision impairment. Since the start of the pandemic, we have chosen to issue this FOI</w:t>
      </w:r>
      <w:r>
        <w:t xml:space="preserve"> request</w:t>
      </w:r>
      <w:r w:rsidRPr="00E41665">
        <w:t xml:space="preserve"> in October rather than earlier in the year. </w:t>
      </w:r>
    </w:p>
    <w:p w14:paraId="11B59078" w14:textId="77777777" w:rsidR="00EC518C" w:rsidRPr="00E41665" w:rsidRDefault="00EC518C" w:rsidP="00EC518C"/>
    <w:p w14:paraId="7D7415C5" w14:textId="77777777" w:rsidR="00EC518C" w:rsidRPr="00E41665" w:rsidRDefault="00EC518C" w:rsidP="00EC518C">
      <w:r>
        <w:t xml:space="preserve">We got an overall response rate of 90 per cent as 137 of the local authorities responded, or had a response provided from a consortium. This is down two per cent from 2021. </w:t>
      </w:r>
    </w:p>
    <w:p w14:paraId="26FD70F4" w14:textId="77777777" w:rsidR="00EC518C" w:rsidRDefault="00EC518C" w:rsidP="00EC518C">
      <w:pPr>
        <w:pStyle w:val="paragraph"/>
        <w:spacing w:before="0" w:beforeAutospacing="0" w:after="0" w:afterAutospacing="0"/>
        <w:textAlignment w:val="baseline"/>
      </w:pPr>
    </w:p>
    <w:p w14:paraId="55A1D186" w14:textId="2B8AF61E" w:rsidR="00EC518C" w:rsidRPr="00CA384C" w:rsidRDefault="00DA1ED2" w:rsidP="00CA384C">
      <w:pPr>
        <w:pStyle w:val="paragraph"/>
        <w:textAlignment w:val="baseline"/>
        <w:rPr>
          <w:rFonts w:ascii="Arial" w:hAnsi="Arial"/>
          <w:sz w:val="28"/>
          <w:szCs w:val="28"/>
          <w:lang w:eastAsia="en-US"/>
        </w:rPr>
      </w:pPr>
      <w:r w:rsidRPr="00DA1ED2">
        <w:rPr>
          <w:rFonts w:ascii="Arial" w:hAnsi="Arial"/>
          <w:sz w:val="28"/>
          <w:szCs w:val="28"/>
          <w:lang w:eastAsia="en-US"/>
        </w:rPr>
        <w:t xml:space="preserve">The FOI request to the </w:t>
      </w:r>
      <w:r>
        <w:rPr>
          <w:rFonts w:ascii="Arial" w:hAnsi="Arial"/>
          <w:sz w:val="28"/>
          <w:szCs w:val="28"/>
          <w:lang w:eastAsia="en-US"/>
        </w:rPr>
        <w:t>local a</w:t>
      </w:r>
      <w:r w:rsidRPr="00DA1ED2">
        <w:rPr>
          <w:rFonts w:ascii="Arial" w:hAnsi="Arial"/>
          <w:sz w:val="28"/>
          <w:szCs w:val="28"/>
          <w:lang w:eastAsia="en-US"/>
        </w:rPr>
        <w:t>uthorit</w:t>
      </w:r>
      <w:r>
        <w:rPr>
          <w:rFonts w:ascii="Arial" w:hAnsi="Arial"/>
          <w:sz w:val="28"/>
          <w:szCs w:val="28"/>
          <w:lang w:eastAsia="en-US"/>
        </w:rPr>
        <w:t>ies</w:t>
      </w:r>
      <w:r w:rsidRPr="00DA1ED2">
        <w:rPr>
          <w:rFonts w:ascii="Arial" w:hAnsi="Arial"/>
          <w:sz w:val="28"/>
          <w:szCs w:val="28"/>
          <w:lang w:eastAsia="en-US"/>
        </w:rPr>
        <w:t xml:space="preserve"> covered the following:</w:t>
      </w:r>
    </w:p>
    <w:p w14:paraId="79E1A597" w14:textId="77777777" w:rsidR="00DA1ED2" w:rsidRDefault="00DA1ED2">
      <w:pPr>
        <w:pStyle w:val="ListParagraph"/>
        <w:numPr>
          <w:ilvl w:val="0"/>
          <w:numId w:val="5"/>
        </w:numPr>
        <w:spacing w:after="120"/>
        <w:ind w:left="714" w:hanging="357"/>
        <w:contextualSpacing w:val="0"/>
      </w:pPr>
      <w:r>
        <w:t>Organisation and funding of Education Vision Impairment (VI) Advisory service</w:t>
      </w:r>
    </w:p>
    <w:p w14:paraId="25DC3006" w14:textId="77777777" w:rsidR="00DA1ED2" w:rsidRDefault="00DA1ED2">
      <w:pPr>
        <w:pStyle w:val="ListParagraph"/>
        <w:numPr>
          <w:ilvl w:val="0"/>
          <w:numId w:val="5"/>
        </w:numPr>
        <w:spacing w:after="120"/>
        <w:ind w:left="714" w:hanging="357"/>
        <w:contextualSpacing w:val="0"/>
      </w:pPr>
      <w:r>
        <w:t>Structuring of services</w:t>
      </w:r>
    </w:p>
    <w:p w14:paraId="0D26E352" w14:textId="77777777" w:rsidR="00DA1ED2" w:rsidRDefault="00DA1ED2">
      <w:pPr>
        <w:pStyle w:val="ListParagraph"/>
        <w:numPr>
          <w:ilvl w:val="0"/>
          <w:numId w:val="5"/>
        </w:numPr>
        <w:spacing w:after="120"/>
        <w:ind w:left="714" w:hanging="357"/>
        <w:contextualSpacing w:val="0"/>
      </w:pPr>
      <w:r>
        <w:t>Number of CYP on the VI service caseload and support available</w:t>
      </w:r>
    </w:p>
    <w:p w14:paraId="0CEC9C7E" w14:textId="77777777" w:rsidR="00DA1ED2" w:rsidRDefault="00DA1ED2">
      <w:pPr>
        <w:pStyle w:val="ListParagraph"/>
        <w:numPr>
          <w:ilvl w:val="0"/>
          <w:numId w:val="5"/>
        </w:numPr>
        <w:spacing w:after="120"/>
        <w:ind w:left="714" w:hanging="357"/>
        <w:contextualSpacing w:val="0"/>
      </w:pPr>
      <w:r>
        <w:t>VI service staffing</w:t>
      </w:r>
    </w:p>
    <w:p w14:paraId="60AE0E41" w14:textId="77777777" w:rsidR="00DA1ED2" w:rsidRDefault="00DA1ED2">
      <w:pPr>
        <w:pStyle w:val="ListParagraph"/>
        <w:numPr>
          <w:ilvl w:val="0"/>
          <w:numId w:val="5"/>
        </w:numPr>
        <w:spacing w:after="120"/>
        <w:ind w:left="714" w:hanging="357"/>
        <w:contextualSpacing w:val="0"/>
      </w:pPr>
      <w:r>
        <w:t>Habilitation support</w:t>
      </w:r>
    </w:p>
    <w:p w14:paraId="29A4B6D4" w14:textId="77777777" w:rsidR="00DA1ED2" w:rsidRDefault="00DA1ED2">
      <w:pPr>
        <w:pStyle w:val="ListParagraph"/>
        <w:numPr>
          <w:ilvl w:val="0"/>
          <w:numId w:val="5"/>
        </w:numPr>
        <w:spacing w:after="120"/>
        <w:ind w:left="714" w:hanging="357"/>
        <w:contextualSpacing w:val="0"/>
      </w:pPr>
      <w:r>
        <w:t>Registers</w:t>
      </w:r>
    </w:p>
    <w:p w14:paraId="2EF58156" w14:textId="77777777" w:rsidR="00DA1ED2" w:rsidRDefault="00DA1ED2">
      <w:pPr>
        <w:pStyle w:val="ListParagraph"/>
        <w:numPr>
          <w:ilvl w:val="0"/>
          <w:numId w:val="5"/>
        </w:numPr>
        <w:spacing w:after="120"/>
        <w:ind w:left="714" w:hanging="357"/>
        <w:contextualSpacing w:val="0"/>
      </w:pPr>
      <w:r>
        <w:t>Curriculum Framework for Children/Young People with Vision Impairment (CFVI)</w:t>
      </w:r>
    </w:p>
    <w:p w14:paraId="3BEFD72C" w14:textId="77777777" w:rsidR="00EC518C" w:rsidRDefault="00EC518C" w:rsidP="00EC518C">
      <w:pPr>
        <w:pStyle w:val="paragraph"/>
        <w:spacing w:before="0" w:beforeAutospacing="0" w:after="0" w:afterAutospacing="0"/>
        <w:textAlignment w:val="baseline"/>
      </w:pPr>
    </w:p>
    <w:p w14:paraId="7B1E967C" w14:textId="77777777" w:rsidR="00EC518C" w:rsidRDefault="00EC518C" w:rsidP="00EC518C">
      <w:pPr>
        <w:pStyle w:val="paragraph"/>
        <w:spacing w:before="0" w:beforeAutospacing="0" w:after="0" w:afterAutospacing="0"/>
        <w:textAlignment w:val="baseline"/>
      </w:pPr>
    </w:p>
    <w:p w14:paraId="5F801BA4" w14:textId="77777777" w:rsidR="00EC518C" w:rsidRDefault="00EC518C" w:rsidP="00EC518C">
      <w:pPr>
        <w:pStyle w:val="paragraph"/>
        <w:spacing w:before="0" w:beforeAutospacing="0" w:after="0" w:afterAutospacing="0"/>
        <w:textAlignment w:val="baseline"/>
      </w:pPr>
    </w:p>
    <w:p w14:paraId="50B14183" w14:textId="77777777" w:rsidR="00EC518C" w:rsidRDefault="00EC518C" w:rsidP="00EC518C">
      <w:pPr>
        <w:pStyle w:val="paragraph"/>
        <w:spacing w:before="0" w:beforeAutospacing="0" w:after="0" w:afterAutospacing="0"/>
        <w:textAlignment w:val="baseline"/>
      </w:pPr>
    </w:p>
    <w:p w14:paraId="3B2B1DC0" w14:textId="77777777" w:rsidR="00EC518C" w:rsidRDefault="00EC518C" w:rsidP="00EC518C">
      <w:pPr>
        <w:pStyle w:val="paragraph"/>
        <w:spacing w:before="0" w:beforeAutospacing="0" w:after="0" w:afterAutospacing="0"/>
        <w:textAlignment w:val="baseline"/>
      </w:pPr>
    </w:p>
    <w:p w14:paraId="00211C74" w14:textId="77777777" w:rsidR="00EC518C" w:rsidRDefault="00EC518C" w:rsidP="00EC518C">
      <w:pPr>
        <w:pStyle w:val="paragraph"/>
        <w:spacing w:before="0" w:beforeAutospacing="0" w:after="0" w:afterAutospacing="0"/>
        <w:textAlignment w:val="baseline"/>
      </w:pPr>
    </w:p>
    <w:p w14:paraId="114D4F7B" w14:textId="77777777" w:rsidR="00EC518C" w:rsidRDefault="00EC518C" w:rsidP="00EC518C">
      <w:pPr>
        <w:pStyle w:val="paragraph"/>
        <w:spacing w:before="0" w:beforeAutospacing="0" w:after="0" w:afterAutospacing="0"/>
        <w:textAlignment w:val="baseline"/>
      </w:pPr>
    </w:p>
    <w:p w14:paraId="13D513AB" w14:textId="77777777" w:rsidR="00EC518C" w:rsidRDefault="00EC518C" w:rsidP="00EC518C">
      <w:pPr>
        <w:pStyle w:val="paragraph"/>
        <w:spacing w:before="0" w:beforeAutospacing="0" w:after="0" w:afterAutospacing="0"/>
        <w:textAlignment w:val="baseline"/>
      </w:pPr>
    </w:p>
    <w:p w14:paraId="4BC0E871" w14:textId="49EDBDCF" w:rsidR="00E54A13" w:rsidRPr="00E41665" w:rsidRDefault="00E54A13">
      <w:pPr>
        <w:pStyle w:val="Heading1"/>
        <w:ind w:left="851" w:hanging="851"/>
      </w:pPr>
      <w:bookmarkStart w:id="24" w:name="_Toc129267859"/>
      <w:bookmarkStart w:id="25" w:name="_Toc129267915"/>
      <w:bookmarkStart w:id="26" w:name="_Toc129267972"/>
      <w:bookmarkStart w:id="27" w:name="_Toc129267860"/>
      <w:bookmarkStart w:id="28" w:name="_Toc129267916"/>
      <w:bookmarkStart w:id="29" w:name="_Toc129267973"/>
      <w:bookmarkStart w:id="30" w:name="_Toc129267861"/>
      <w:bookmarkStart w:id="31" w:name="_Toc129267917"/>
      <w:bookmarkStart w:id="32" w:name="_Toc129267974"/>
      <w:bookmarkStart w:id="33" w:name="_Toc129267862"/>
      <w:bookmarkStart w:id="34" w:name="_Toc129267918"/>
      <w:bookmarkStart w:id="35" w:name="_Toc129267975"/>
      <w:bookmarkStart w:id="36" w:name="_Toc129267863"/>
      <w:bookmarkStart w:id="37" w:name="_Toc129267919"/>
      <w:bookmarkStart w:id="38" w:name="_Toc129267976"/>
      <w:bookmarkStart w:id="39" w:name="_Toc129267864"/>
      <w:bookmarkStart w:id="40" w:name="_Toc129267920"/>
      <w:bookmarkStart w:id="41" w:name="_Toc129267977"/>
      <w:bookmarkStart w:id="42" w:name="_Toc129267865"/>
      <w:bookmarkStart w:id="43" w:name="_Toc129267921"/>
      <w:bookmarkStart w:id="44" w:name="_Toc129267978"/>
      <w:bookmarkStart w:id="45" w:name="_Toc129267866"/>
      <w:bookmarkStart w:id="46" w:name="_Toc129267922"/>
      <w:bookmarkStart w:id="47" w:name="_Toc129267979"/>
      <w:bookmarkStart w:id="48" w:name="_Toc129267867"/>
      <w:bookmarkStart w:id="49" w:name="_Toc129267923"/>
      <w:bookmarkStart w:id="50" w:name="_Toc129267980"/>
      <w:bookmarkStart w:id="51" w:name="_Toc129267868"/>
      <w:bookmarkStart w:id="52" w:name="_Toc129267924"/>
      <w:bookmarkStart w:id="53" w:name="_Toc129267981"/>
      <w:bookmarkStart w:id="54" w:name="_Toc129267869"/>
      <w:bookmarkStart w:id="55" w:name="_Toc129267925"/>
      <w:bookmarkStart w:id="56" w:name="_Toc129267982"/>
      <w:bookmarkStart w:id="57" w:name="_Toc129267870"/>
      <w:bookmarkStart w:id="58" w:name="_Toc129267926"/>
      <w:bookmarkStart w:id="59" w:name="_Toc129267983"/>
      <w:bookmarkStart w:id="60" w:name="_Toc129267871"/>
      <w:bookmarkStart w:id="61" w:name="_Toc129267927"/>
      <w:bookmarkStart w:id="62" w:name="_Toc129267984"/>
      <w:bookmarkStart w:id="63" w:name="_Toc129267872"/>
      <w:bookmarkStart w:id="64" w:name="_Toc129267928"/>
      <w:bookmarkStart w:id="65" w:name="_Toc129267985"/>
      <w:bookmarkStart w:id="66" w:name="_Toc129267873"/>
      <w:bookmarkStart w:id="67" w:name="_Toc129267929"/>
      <w:bookmarkStart w:id="68" w:name="_Toc129267986"/>
      <w:bookmarkStart w:id="69" w:name="_Toc129267874"/>
      <w:bookmarkStart w:id="70" w:name="_Toc129267930"/>
      <w:bookmarkStart w:id="71" w:name="_Toc129267987"/>
      <w:bookmarkStart w:id="72" w:name="_Toc129267875"/>
      <w:bookmarkStart w:id="73" w:name="_Toc129267931"/>
      <w:bookmarkStart w:id="74" w:name="_Toc129267988"/>
      <w:bookmarkStart w:id="75" w:name="_Toc129267876"/>
      <w:bookmarkStart w:id="76" w:name="_Toc129267932"/>
      <w:bookmarkStart w:id="77" w:name="_Toc129267989"/>
      <w:bookmarkStart w:id="78" w:name="_Toc129267877"/>
      <w:bookmarkStart w:id="79" w:name="_Toc129267933"/>
      <w:bookmarkStart w:id="80" w:name="_Toc129267990"/>
      <w:bookmarkStart w:id="81" w:name="_Toc129267878"/>
      <w:bookmarkStart w:id="82" w:name="_Toc129267934"/>
      <w:bookmarkStart w:id="83" w:name="_Toc129267991"/>
      <w:bookmarkStart w:id="84" w:name="_Toc129267879"/>
      <w:bookmarkStart w:id="85" w:name="_Toc129267935"/>
      <w:bookmarkStart w:id="86" w:name="_Toc129267992"/>
      <w:bookmarkStart w:id="87" w:name="_Toc125543651"/>
      <w:bookmarkStart w:id="88" w:name="_Toc12977542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41665">
        <w:lastRenderedPageBreak/>
        <w:t>Findings</w:t>
      </w:r>
      <w:bookmarkEnd w:id="87"/>
      <w:bookmarkEnd w:id="88"/>
    </w:p>
    <w:p w14:paraId="42A21EFA" w14:textId="11224F9C" w:rsidR="00E54A13" w:rsidRPr="00E41665" w:rsidRDefault="00E54A13">
      <w:pPr>
        <w:pStyle w:val="Heading2"/>
        <w:spacing w:before="240"/>
        <w:ind w:left="851" w:hanging="851"/>
      </w:pPr>
      <w:bookmarkStart w:id="89" w:name="_Toc125543652"/>
      <w:bookmarkStart w:id="90" w:name="_Toc129775430"/>
      <w:r w:rsidRPr="00E41665">
        <w:t>Service provision and organisation</w:t>
      </w:r>
      <w:bookmarkEnd w:id="89"/>
      <w:bookmarkEnd w:id="90"/>
    </w:p>
    <w:p w14:paraId="608B342F" w14:textId="77777777" w:rsidR="00E54A13" w:rsidRPr="00FA16CE" w:rsidRDefault="00E54A13">
      <w:pPr>
        <w:pStyle w:val="Heading3"/>
        <w:spacing w:before="240"/>
        <w:ind w:left="851" w:hanging="851"/>
        <w:rPr>
          <w:sz w:val="32"/>
          <w:szCs w:val="32"/>
        </w:rPr>
      </w:pPr>
      <w:bookmarkStart w:id="91" w:name="_Toc129775431"/>
      <w:r w:rsidRPr="00FA16CE">
        <w:rPr>
          <w:sz w:val="32"/>
          <w:szCs w:val="32"/>
        </w:rPr>
        <w:t>Funding arrangement</w:t>
      </w:r>
      <w:bookmarkEnd w:id="91"/>
    </w:p>
    <w:p w14:paraId="575DE755" w14:textId="2850B81E" w:rsidR="00E54A13" w:rsidRPr="00E41665" w:rsidRDefault="00E54A13" w:rsidP="00E54A13">
      <w:r>
        <w:t>Of the 1</w:t>
      </w:r>
      <w:r w:rsidR="1C98DBE7">
        <w:t>3</w:t>
      </w:r>
      <w:r w:rsidR="3C0407A0">
        <w:t>7</w:t>
      </w:r>
      <w:r>
        <w:t xml:space="preserve"> local authorities that responded to the FOI request, </w:t>
      </w:r>
      <w:r w:rsidR="4CAAE48E">
        <w:t xml:space="preserve">91 </w:t>
      </w:r>
      <w:r w:rsidR="67CA59EA">
        <w:t>per cent</w:t>
      </w:r>
      <w:r w:rsidR="2405105B">
        <w:t xml:space="preserve"> said specialist support for </w:t>
      </w:r>
      <w:r>
        <w:t>pupils with vision impairment</w:t>
      </w:r>
      <w:r w:rsidR="2405105B">
        <w:t xml:space="preserve"> was centrally funded</w:t>
      </w:r>
      <w:r>
        <w:t xml:space="preserve">. Only </w:t>
      </w:r>
      <w:r w:rsidR="740E9FB3">
        <w:t>four</w:t>
      </w:r>
      <w:r w:rsidR="67CA59EA">
        <w:t xml:space="preserve"> per cent</w:t>
      </w:r>
      <w:r>
        <w:t xml:space="preserve"> said they partially delegated their funding</w:t>
      </w:r>
      <w:r w:rsidR="078D6724">
        <w:t>,</w:t>
      </w:r>
      <w:r>
        <w:t xml:space="preserve"> </w:t>
      </w:r>
      <w:r w:rsidR="67CA59EA">
        <w:t>while no respondent</w:t>
      </w:r>
      <w:r w:rsidR="17CDA443">
        <w:t xml:space="preserve"> said they fully delegated </w:t>
      </w:r>
      <w:r w:rsidR="078D6724">
        <w:t xml:space="preserve">funding </w:t>
      </w:r>
      <w:r>
        <w:t xml:space="preserve">to individual schools who purchase specialist support under </w:t>
      </w:r>
      <w:r w:rsidR="1DB012DD">
        <w:t>a</w:t>
      </w:r>
      <w:r>
        <w:t xml:space="preserve"> ‘traded services’ arrangement.</w:t>
      </w:r>
      <w:r w:rsidR="43037529">
        <w:t xml:space="preserve"> </w:t>
      </w:r>
    </w:p>
    <w:p w14:paraId="4880962C" w14:textId="77777777" w:rsidR="00E54A13" w:rsidRPr="00E41665" w:rsidRDefault="00E54A13" w:rsidP="00E54A13"/>
    <w:p w14:paraId="080DFE37" w14:textId="0C58ED3D" w:rsidR="00E54A13" w:rsidRPr="00E41665" w:rsidRDefault="003D3C76" w:rsidP="00E54A13">
      <w:r w:rsidRPr="00E41665">
        <w:t xml:space="preserve">Authorities were given an option to </w:t>
      </w:r>
      <w:r w:rsidR="00BF21E7" w:rsidRPr="00E41665">
        <w:t xml:space="preserve">provide </w:t>
      </w:r>
      <w:r w:rsidR="00E54A13" w:rsidRPr="00E41665">
        <w:t>additional comments regarding their funding arrangements.</w:t>
      </w:r>
      <w:r w:rsidR="00DC096A" w:rsidRPr="00E41665">
        <w:t xml:space="preserve"> The most common theme was around</w:t>
      </w:r>
      <w:r w:rsidR="002E32C7" w:rsidRPr="00E41665">
        <w:t xml:space="preserve"> </w:t>
      </w:r>
      <w:r w:rsidR="00A313DD" w:rsidRPr="00E41665">
        <w:t xml:space="preserve">commissioning external agencies to provide support and </w:t>
      </w:r>
      <w:r w:rsidR="00E54A13" w:rsidRPr="00E41665">
        <w:t>funding from the Delegated Schools Grant and High Needs Budget agreed by their directorat</w:t>
      </w:r>
      <w:r w:rsidR="00A313DD" w:rsidRPr="00E41665">
        <w:t>e.</w:t>
      </w:r>
      <w:r w:rsidR="00004FBD" w:rsidRPr="00E41665">
        <w:t xml:space="preserve"> Two </w:t>
      </w:r>
      <w:r w:rsidR="00A313DD" w:rsidRPr="00E41665">
        <w:t xml:space="preserve">authorities also </w:t>
      </w:r>
      <w:r w:rsidR="006F72CF" w:rsidRPr="00E41665">
        <w:t>stated that</w:t>
      </w:r>
      <w:r w:rsidR="00004FBD" w:rsidRPr="00E41665">
        <w:t xml:space="preserve"> there is no designated VI budget</w:t>
      </w:r>
      <w:r w:rsidR="009202DE" w:rsidRPr="00E41665">
        <w:t xml:space="preserve"> as funding</w:t>
      </w:r>
      <w:r w:rsidR="00034C99" w:rsidRPr="00E41665">
        <w:t xml:space="preserve"> is taken from an overall service budget</w:t>
      </w:r>
      <w:r w:rsidR="00680F71" w:rsidRPr="00E41665">
        <w:t>,</w:t>
      </w:r>
      <w:r w:rsidR="00034C99" w:rsidRPr="00E41665">
        <w:t xml:space="preserve"> or </w:t>
      </w:r>
      <w:r w:rsidR="001604A6" w:rsidRPr="00E41665">
        <w:t xml:space="preserve">funding is </w:t>
      </w:r>
      <w:r w:rsidR="00034C99" w:rsidRPr="00E41665">
        <w:t>considered on a</w:t>
      </w:r>
      <w:r w:rsidR="001604A6" w:rsidRPr="00E41665">
        <w:t>n</w:t>
      </w:r>
      <w:r w:rsidR="00034C99" w:rsidRPr="00E41665">
        <w:t xml:space="preserve"> </w:t>
      </w:r>
      <w:r w:rsidR="001604A6" w:rsidRPr="00E41665">
        <w:t xml:space="preserve">individual </w:t>
      </w:r>
      <w:r w:rsidR="005C0A57" w:rsidRPr="00E41665">
        <w:t>basis.</w:t>
      </w:r>
    </w:p>
    <w:p w14:paraId="1BDE2A7F" w14:textId="77777777" w:rsidR="00E54A13" w:rsidRPr="00E41665" w:rsidRDefault="00E54A13" w:rsidP="00E54A13">
      <w:r w:rsidRPr="00E41665">
        <w:t xml:space="preserve"> </w:t>
      </w:r>
    </w:p>
    <w:p w14:paraId="35110B8D" w14:textId="77777777" w:rsidR="00E54A13" w:rsidRPr="00FA16CE" w:rsidRDefault="00E54A13">
      <w:pPr>
        <w:pStyle w:val="Heading3"/>
        <w:spacing w:before="240"/>
        <w:ind w:left="851" w:hanging="851"/>
        <w:rPr>
          <w:sz w:val="32"/>
          <w:szCs w:val="32"/>
        </w:rPr>
      </w:pPr>
      <w:bookmarkStart w:id="92" w:name="_Toc129775432"/>
      <w:r w:rsidRPr="00FA16CE">
        <w:rPr>
          <w:sz w:val="32"/>
          <w:szCs w:val="32"/>
        </w:rPr>
        <w:t>Changes to provision</w:t>
      </w:r>
      <w:bookmarkEnd w:id="92"/>
    </w:p>
    <w:p w14:paraId="73B485CE" w14:textId="09F7F9FF" w:rsidR="00E54A13" w:rsidRPr="00E41665" w:rsidRDefault="20CCDD1C" w:rsidP="00E54A13">
      <w:r>
        <w:t xml:space="preserve">In the last 12 months, </w:t>
      </w:r>
      <w:r w:rsidR="00C91691">
        <w:t xml:space="preserve">30 </w:t>
      </w:r>
      <w:r w:rsidR="67CA59EA">
        <w:t>per cent</w:t>
      </w:r>
      <w:r>
        <w:t xml:space="preserve"> of authorities have made changes to the way provision for children and young people with vision impairment </w:t>
      </w:r>
      <w:r w:rsidR="00CA384C">
        <w:t>is</w:t>
      </w:r>
      <w:r>
        <w:t xml:space="preserve"> funded or organised, whereas </w:t>
      </w:r>
      <w:r w:rsidR="1E8C6439">
        <w:t>6</w:t>
      </w:r>
      <w:r w:rsidR="433E914B">
        <w:t>9</w:t>
      </w:r>
      <w:r w:rsidR="67CA59EA">
        <w:t xml:space="preserve"> per cent</w:t>
      </w:r>
      <w:r>
        <w:t xml:space="preserve"> said no changes were made.</w:t>
      </w:r>
    </w:p>
    <w:p w14:paraId="6F7E1D61" w14:textId="77777777" w:rsidR="00E54A13" w:rsidRPr="00E41665" w:rsidRDefault="00E54A13" w:rsidP="00E54A13"/>
    <w:p w14:paraId="7C2DCC12" w14:textId="413C1E37" w:rsidR="00281491" w:rsidRPr="00E41665" w:rsidRDefault="00E54A13" w:rsidP="00E54A13">
      <w:r>
        <w:t xml:space="preserve">Of the local authorities that had actively made change to provision over the last 12 months, </w:t>
      </w:r>
      <w:r w:rsidR="79185097">
        <w:t>3</w:t>
      </w:r>
      <w:r w:rsidR="00FD5ECD">
        <w:t>1</w:t>
      </w:r>
      <w:r w:rsidR="67CA59EA">
        <w:t xml:space="preserve"> per cent</w:t>
      </w:r>
      <w:r>
        <w:t xml:space="preserve"> provided additional details. </w:t>
      </w:r>
    </w:p>
    <w:p w14:paraId="455BFD7B" w14:textId="77777777" w:rsidR="00281491" w:rsidRPr="00E41665" w:rsidRDefault="00281491" w:rsidP="00E54A13"/>
    <w:p w14:paraId="624A9345" w14:textId="0784576C" w:rsidR="007C0218" w:rsidRPr="00E41665" w:rsidRDefault="00E54A13" w:rsidP="00E54A13">
      <w:r w:rsidRPr="00E41665">
        <w:t xml:space="preserve">Changes amongst half of these local authorities were largely positive, with </w:t>
      </w:r>
      <w:r w:rsidR="0057239D" w:rsidRPr="00E41665">
        <w:t>18</w:t>
      </w:r>
      <w:r w:rsidRPr="00E41665">
        <w:t xml:space="preserve"> local authorities</w:t>
      </w:r>
      <w:r w:rsidR="00C41895" w:rsidRPr="00E41665">
        <w:t xml:space="preserve"> increasing </w:t>
      </w:r>
      <w:r w:rsidR="00414D90" w:rsidRPr="00E41665">
        <w:t xml:space="preserve">their </w:t>
      </w:r>
      <w:r w:rsidR="00C41895" w:rsidRPr="00E41665">
        <w:t xml:space="preserve">budget </w:t>
      </w:r>
      <w:r w:rsidR="00D66814" w:rsidRPr="00E41665">
        <w:t xml:space="preserve">to </w:t>
      </w:r>
      <w:r w:rsidR="00FA0F28" w:rsidRPr="00E41665">
        <w:t xml:space="preserve">allow for </w:t>
      </w:r>
      <w:r w:rsidR="00A76BAC">
        <w:t xml:space="preserve">hiring </w:t>
      </w:r>
      <w:r w:rsidR="00414D90" w:rsidRPr="00E41665">
        <w:t>additional</w:t>
      </w:r>
      <w:r w:rsidR="00D66814" w:rsidRPr="00E41665">
        <w:t xml:space="preserve"> </w:t>
      </w:r>
      <w:r w:rsidRPr="00E41665">
        <w:t xml:space="preserve">QTVIs and </w:t>
      </w:r>
      <w:r w:rsidR="00A76BAC">
        <w:t xml:space="preserve">qualified </w:t>
      </w:r>
      <w:r w:rsidRPr="00E41665">
        <w:t xml:space="preserve">habilitation specialists </w:t>
      </w:r>
      <w:r w:rsidR="00D66814" w:rsidRPr="00E41665">
        <w:t>in order to</w:t>
      </w:r>
      <w:r w:rsidRPr="00E41665">
        <w:t xml:space="preserve"> deliver services</w:t>
      </w:r>
      <w:r w:rsidR="00464FCB" w:rsidRPr="00E41665">
        <w:t xml:space="preserve"> efficient</w:t>
      </w:r>
      <w:r w:rsidR="007B0559" w:rsidRPr="00E41665">
        <w:t>l</w:t>
      </w:r>
      <w:r w:rsidR="000A64E2" w:rsidRPr="00E41665">
        <w:t xml:space="preserve">y </w:t>
      </w:r>
      <w:r w:rsidRPr="00E41665">
        <w:t>and meet demands.</w:t>
      </w:r>
      <w:r w:rsidR="007072D6" w:rsidRPr="00E41665">
        <w:t xml:space="preserve"> In many cases</w:t>
      </w:r>
      <w:r w:rsidR="00B44CE9">
        <w:t>,</w:t>
      </w:r>
      <w:r w:rsidR="007072D6" w:rsidRPr="00E41665">
        <w:t xml:space="preserve"> local authorities were able to successfully recruit for position</w:t>
      </w:r>
      <w:r w:rsidR="006572FE">
        <w:t>s</w:t>
      </w:r>
      <w:r w:rsidR="007072D6" w:rsidRPr="00E41665">
        <w:t xml:space="preserve"> that were </w:t>
      </w:r>
      <w:r w:rsidR="00BB5E4B" w:rsidRPr="00E41665">
        <w:t xml:space="preserve">previously </w:t>
      </w:r>
      <w:r w:rsidR="007072D6" w:rsidRPr="00E41665">
        <w:t>vacan</w:t>
      </w:r>
      <w:r w:rsidR="00BB5E4B" w:rsidRPr="00E41665">
        <w:t>t</w:t>
      </w:r>
      <w:r w:rsidR="007C0218" w:rsidRPr="00E41665">
        <w:t xml:space="preserve">. </w:t>
      </w:r>
    </w:p>
    <w:p w14:paraId="505F7C72" w14:textId="77777777" w:rsidR="007C0218" w:rsidRPr="00E41665" w:rsidRDefault="007C0218" w:rsidP="00E54A13"/>
    <w:p w14:paraId="50BFACF5" w14:textId="19B25702" w:rsidR="00E54A13" w:rsidRDefault="009B3E38" w:rsidP="00E54A13">
      <w:r>
        <w:t>T</w:t>
      </w:r>
      <w:r w:rsidR="007C0218" w:rsidRPr="00E41665">
        <w:t xml:space="preserve">wo </w:t>
      </w:r>
      <w:r w:rsidR="00E54A13" w:rsidRPr="00E41665">
        <w:t>authorities stated a restructure that created a new role leading to an increase in service delivery</w:t>
      </w:r>
      <w:r>
        <w:t>.</w:t>
      </w:r>
      <w:r w:rsidR="00E54A13" w:rsidRPr="00E41665">
        <w:t xml:space="preserve"> </w:t>
      </w:r>
      <w:r>
        <w:t>A</w:t>
      </w:r>
      <w:r w:rsidR="00E54A13" w:rsidRPr="00E41665">
        <w:t xml:space="preserve">nother </w:t>
      </w:r>
      <w:r w:rsidR="007C0218" w:rsidRPr="00E41665">
        <w:t>has</w:t>
      </w:r>
      <w:r w:rsidR="00E54A13" w:rsidRPr="00E41665">
        <w:t xml:space="preserve"> set out budget for specialist equipment for special needs students. </w:t>
      </w:r>
    </w:p>
    <w:p w14:paraId="69C0A9E3" w14:textId="77777777" w:rsidR="00666052" w:rsidRPr="00E41665" w:rsidRDefault="00666052" w:rsidP="00E54A13"/>
    <w:p w14:paraId="645B1C47" w14:textId="77777777" w:rsidR="00E54A13" w:rsidRPr="00E41665" w:rsidRDefault="00E54A13" w:rsidP="00E54A13">
      <w:r w:rsidRPr="00E41665">
        <w:t xml:space="preserve"> </w:t>
      </w:r>
    </w:p>
    <w:p w14:paraId="639E4FF1" w14:textId="1D833130" w:rsidR="00E54A13" w:rsidRPr="00E41665" w:rsidRDefault="005B7948" w:rsidP="00E54A13">
      <w:r w:rsidRPr="00E41665">
        <w:lastRenderedPageBreak/>
        <w:tab/>
      </w:r>
      <w:r w:rsidR="0024213D" w:rsidRPr="00E41665">
        <w:t>"</w:t>
      </w:r>
      <w:r w:rsidR="00B44CE9">
        <w:t>One</w:t>
      </w:r>
      <w:r w:rsidR="0024213D" w:rsidRPr="00E41665">
        <w:t xml:space="preserve"> FTE Higher Level Teaching Assistant (Vis</w:t>
      </w:r>
      <w:r w:rsidR="00C3350D">
        <w:t>ion</w:t>
      </w:r>
      <w:r w:rsidR="0024213D" w:rsidRPr="00E41665">
        <w:t xml:space="preserve"> Impairment) </w:t>
      </w:r>
      <w:r w:rsidR="004D4BC4">
        <w:tab/>
      </w:r>
      <w:r w:rsidR="0024213D" w:rsidRPr="00E41665">
        <w:t>has</w:t>
      </w:r>
      <w:r w:rsidR="004D4BC4">
        <w:t xml:space="preserve"> </w:t>
      </w:r>
      <w:r w:rsidR="0024213D" w:rsidRPr="00E41665">
        <w:t>been employed from January 2</w:t>
      </w:r>
      <w:r w:rsidR="00277F9B">
        <w:t>0</w:t>
      </w:r>
      <w:r w:rsidR="0024213D" w:rsidRPr="00E41665">
        <w:t xml:space="preserve">22. </w:t>
      </w:r>
      <w:r w:rsidR="008C7467" w:rsidRPr="00E41665">
        <w:t>Habilitation</w:t>
      </w:r>
      <w:r w:rsidR="0024213D" w:rsidRPr="00E41665">
        <w:t xml:space="preserve"> Support has </w:t>
      </w:r>
      <w:r w:rsidR="00277F9B">
        <w:tab/>
      </w:r>
      <w:r w:rsidR="0024213D" w:rsidRPr="00E41665">
        <w:t xml:space="preserve">slowly increased since end of March 22 again to full time position.  </w:t>
      </w:r>
      <w:r w:rsidRPr="00E41665">
        <w:tab/>
      </w:r>
      <w:r w:rsidR="0024213D" w:rsidRPr="00E41665">
        <w:t xml:space="preserve">Habilitation Specialist has returned from long term absence on </w:t>
      </w:r>
      <w:r w:rsidRPr="00E41665">
        <w:tab/>
      </w:r>
      <w:r w:rsidR="0024213D" w:rsidRPr="00E41665">
        <w:t xml:space="preserve">phased return. Post was covered by temporary member of staff </w:t>
      </w:r>
      <w:r w:rsidRPr="00E41665">
        <w:tab/>
      </w:r>
      <w:r w:rsidR="0024213D" w:rsidRPr="00E41665">
        <w:t>who ensured statutory duti</w:t>
      </w:r>
      <w:r w:rsidR="008C7467" w:rsidRPr="00E41665">
        <w:t>e</w:t>
      </w:r>
      <w:r w:rsidR="0024213D" w:rsidRPr="00E41665">
        <w:t>s and EYs were being met.</w:t>
      </w:r>
      <w:r w:rsidRPr="00E41665">
        <w:t>"</w:t>
      </w:r>
    </w:p>
    <w:p w14:paraId="661E737D" w14:textId="77777777" w:rsidR="005B7948" w:rsidRPr="00E41665" w:rsidRDefault="005B7948" w:rsidP="00E54A13"/>
    <w:p w14:paraId="4D42010E" w14:textId="38719626" w:rsidR="00E54A13" w:rsidRPr="00E41665" w:rsidRDefault="00E54A13" w:rsidP="00E54A13">
      <w:r w:rsidRPr="00E41665">
        <w:t xml:space="preserve">In contrast, </w:t>
      </w:r>
      <w:r w:rsidR="00370731" w:rsidRPr="00E41665">
        <w:t>five</w:t>
      </w:r>
      <w:r w:rsidRPr="00E41665">
        <w:t xml:space="preserve"> local authorities have </w:t>
      </w:r>
      <w:r w:rsidR="008D3493" w:rsidRPr="00E41665">
        <w:t>experienced</w:t>
      </w:r>
      <w:r w:rsidR="00E17C03" w:rsidRPr="00E41665">
        <w:t xml:space="preserve"> a loss of </w:t>
      </w:r>
      <w:r w:rsidR="00370731" w:rsidRPr="00E41665">
        <w:t xml:space="preserve">specialist </w:t>
      </w:r>
      <w:r w:rsidR="008D3493" w:rsidRPr="00E41665">
        <w:t xml:space="preserve">staff </w:t>
      </w:r>
      <w:r w:rsidR="00E76E34" w:rsidRPr="00E41665">
        <w:t>or</w:t>
      </w:r>
      <w:r w:rsidR="0004082B" w:rsidRPr="00E41665">
        <w:t xml:space="preserve"> have </w:t>
      </w:r>
      <w:r w:rsidR="00E76E34" w:rsidRPr="00E41665">
        <w:t>o</w:t>
      </w:r>
      <w:r w:rsidRPr="00E41665">
        <w:t>ngoing vacancies that have yet to be filled</w:t>
      </w:r>
      <w:r w:rsidR="00B6285F" w:rsidRPr="00E41665">
        <w:t xml:space="preserve">. </w:t>
      </w:r>
    </w:p>
    <w:p w14:paraId="78FA6243" w14:textId="77777777" w:rsidR="00D73FEC" w:rsidRPr="00E41665" w:rsidRDefault="00D73FEC" w:rsidP="00E54A13"/>
    <w:p w14:paraId="4F66A2DA" w14:textId="2B9D1332" w:rsidR="00D73FEC" w:rsidRPr="00E41665" w:rsidRDefault="00D73FEC" w:rsidP="00E54A13">
      <w:r w:rsidRPr="00E41665">
        <w:tab/>
        <w:t xml:space="preserve">"The senior carried a </w:t>
      </w:r>
      <w:r w:rsidR="00010292" w:rsidRPr="00E41665">
        <w:t>0</w:t>
      </w:r>
      <w:r w:rsidRPr="00E41665">
        <w:t>.4 caseload</w:t>
      </w:r>
      <w:r w:rsidR="0026434D">
        <w:t>,</w:t>
      </w:r>
      <w:r w:rsidRPr="00E41665">
        <w:t xml:space="preserve"> but we could not recruit a </w:t>
      </w:r>
      <w:r w:rsidR="00010292" w:rsidRPr="00E41665">
        <w:tab/>
      </w:r>
      <w:r w:rsidRPr="00E41665">
        <w:t xml:space="preserve">person to the post with the same quals, despite </w:t>
      </w:r>
      <w:r w:rsidR="00B44CE9">
        <w:t>two</w:t>
      </w:r>
      <w:r w:rsidRPr="00E41665">
        <w:t xml:space="preserve"> attempts</w:t>
      </w:r>
      <w:r w:rsidR="00B44CE9">
        <w:t>.</w:t>
      </w:r>
      <w:r w:rsidR="00C3350D">
        <w:t>”</w:t>
      </w:r>
    </w:p>
    <w:p w14:paraId="028EA1ED" w14:textId="77777777" w:rsidR="004C10D8" w:rsidRPr="00E41665" w:rsidRDefault="004C10D8" w:rsidP="00E54A13"/>
    <w:p w14:paraId="13AFA5CD" w14:textId="272DAFF7" w:rsidR="004C10D8" w:rsidRPr="00E41665" w:rsidRDefault="005605BE" w:rsidP="005605BE">
      <w:r w:rsidRPr="00E41665">
        <w:tab/>
        <w:t xml:space="preserve">"Currently have a part-time QTVI fulfilling the role until a </w:t>
      </w:r>
      <w:r w:rsidRPr="00E41665">
        <w:tab/>
        <w:t>permanent member of staff can be secured</w:t>
      </w:r>
      <w:r w:rsidR="00B44CE9">
        <w:t>.</w:t>
      </w:r>
      <w:r w:rsidRPr="00E41665">
        <w:t>"</w:t>
      </w:r>
    </w:p>
    <w:p w14:paraId="7A185AE4" w14:textId="77777777" w:rsidR="00E54A13" w:rsidRPr="00E41665" w:rsidRDefault="00E54A13" w:rsidP="00E54A13"/>
    <w:p w14:paraId="35F7116B" w14:textId="38398ABE" w:rsidR="002C118C" w:rsidRDefault="00F768A8" w:rsidP="00E54A13">
      <w:r>
        <w:t>In 2021, we asked how many CYP had their service reduced due to service capacity</w:t>
      </w:r>
      <w:r w:rsidR="00B44CE9">
        <w:t>,</w:t>
      </w:r>
      <w:r>
        <w:t xml:space="preserve"> or restructure of delivery model</w:t>
      </w:r>
      <w:r w:rsidR="00B44CE9">
        <w:t>,</w:t>
      </w:r>
      <w:r>
        <w:t xml:space="preserve"> in the last 12 months</w:t>
      </w:r>
      <w:r w:rsidR="002C118C">
        <w:t>;</w:t>
      </w:r>
      <w:r>
        <w:t xml:space="preserve"> only seven LAs provided an answer, with a total of 155 children and young people having their support directly reduced. </w:t>
      </w:r>
    </w:p>
    <w:p w14:paraId="4CDBBA55" w14:textId="38398ABE" w:rsidR="00E44BE3" w:rsidRDefault="00E44BE3" w:rsidP="00E54A13"/>
    <w:p w14:paraId="3E7CADA6" w14:textId="7070E466" w:rsidR="00F768A8" w:rsidRPr="00E41665" w:rsidRDefault="00F768A8" w:rsidP="00E54A13">
      <w:r>
        <w:t xml:space="preserve">However, when we asked the same question this year, </w:t>
      </w:r>
      <w:r w:rsidR="00A05FF3">
        <w:t xml:space="preserve">we again had seven authorities that provided </w:t>
      </w:r>
      <w:r w:rsidR="003C6710">
        <w:t xml:space="preserve">a </w:t>
      </w:r>
      <w:r>
        <w:t>figure</w:t>
      </w:r>
      <w:r w:rsidR="00A76BAC">
        <w:t xml:space="preserve"> (NB. not the same seven authorities)</w:t>
      </w:r>
      <w:r>
        <w:t xml:space="preserve">, but the total number of children and young people that had their service reduced was </w:t>
      </w:r>
      <w:r w:rsidR="009A1EA6">
        <w:t>293</w:t>
      </w:r>
      <w:r w:rsidR="00282C42">
        <w:t>.</w:t>
      </w:r>
      <w:r>
        <w:t xml:space="preserve"> </w:t>
      </w:r>
    </w:p>
    <w:p w14:paraId="269B12D5" w14:textId="77777777" w:rsidR="003C6710" w:rsidRPr="00E41665" w:rsidRDefault="003C6710" w:rsidP="00E54A13"/>
    <w:p w14:paraId="132289DD" w14:textId="340DFC37" w:rsidR="00375944" w:rsidRPr="00E41665" w:rsidRDefault="00C84FC0" w:rsidP="00E54A13">
      <w:r w:rsidRPr="00E41665">
        <w:t>Several</w:t>
      </w:r>
      <w:r w:rsidR="000E7361" w:rsidRPr="00E41665">
        <w:t xml:space="preserve"> authorit</w:t>
      </w:r>
      <w:r w:rsidRPr="00E41665">
        <w:t>ies stated that</w:t>
      </w:r>
      <w:r w:rsidR="000E7361" w:rsidRPr="00E41665">
        <w:t xml:space="preserve"> </w:t>
      </w:r>
      <w:r w:rsidR="00E24384" w:rsidRPr="00E41665">
        <w:t xml:space="preserve">they </w:t>
      </w:r>
      <w:r w:rsidR="00C91691">
        <w:t>do not</w:t>
      </w:r>
      <w:r w:rsidR="00C91691" w:rsidRPr="00E41665">
        <w:t xml:space="preserve"> </w:t>
      </w:r>
      <w:r w:rsidR="00E24384" w:rsidRPr="00E41665">
        <w:t>currently collect th</w:t>
      </w:r>
      <w:r w:rsidR="00E41697" w:rsidRPr="00E41665">
        <w:t>is</w:t>
      </w:r>
      <w:r w:rsidR="00E24384" w:rsidRPr="00E41665">
        <w:t xml:space="preserve"> </w:t>
      </w:r>
      <w:r w:rsidR="00E41697" w:rsidRPr="00E41665">
        <w:t xml:space="preserve">data </w:t>
      </w:r>
      <w:r w:rsidR="00E24384" w:rsidRPr="00E41665">
        <w:t>so are unable to provide an accurate figur</w:t>
      </w:r>
      <w:r w:rsidR="00B60FCE" w:rsidRPr="00E41665">
        <w:t>e</w:t>
      </w:r>
      <w:r w:rsidR="00C91691">
        <w:t>. H</w:t>
      </w:r>
      <w:r w:rsidR="003C6710" w:rsidRPr="00E41665">
        <w:t>owever</w:t>
      </w:r>
      <w:r w:rsidR="00E6761C">
        <w:t>,</w:t>
      </w:r>
      <w:r w:rsidR="003C6710" w:rsidRPr="00E41665">
        <w:t xml:space="preserve"> several authorities did provide extra informatio</w:t>
      </w:r>
      <w:r w:rsidR="00B60FCE" w:rsidRPr="00E41665">
        <w:t xml:space="preserve">n. For several </w:t>
      </w:r>
      <w:r w:rsidR="00E6761C">
        <w:t>of them,</w:t>
      </w:r>
      <w:r w:rsidR="00E6761C" w:rsidRPr="00E41665">
        <w:t xml:space="preserve"> </w:t>
      </w:r>
      <w:r w:rsidR="00B60FCE" w:rsidRPr="00E41665">
        <w:t xml:space="preserve">staffing continues to be an issue </w:t>
      </w:r>
      <w:r w:rsidR="007402AD" w:rsidRPr="00E41665">
        <w:t>alongside the continuous increas</w:t>
      </w:r>
      <w:r w:rsidR="00242000" w:rsidRPr="00E41665">
        <w:t>e in the number of children and young people on active caseload.</w:t>
      </w:r>
      <w:r w:rsidR="00F55928" w:rsidRPr="00E41665">
        <w:t xml:space="preserve"> The </w:t>
      </w:r>
      <w:r w:rsidR="0032330C" w:rsidRPr="00E41665">
        <w:t>continuous</w:t>
      </w:r>
      <w:r w:rsidR="00F55928" w:rsidRPr="00E41665">
        <w:t xml:space="preserve"> pressure on </w:t>
      </w:r>
      <w:r w:rsidR="0032330C" w:rsidRPr="00E41665">
        <w:t xml:space="preserve">specialist </w:t>
      </w:r>
      <w:r w:rsidR="005B7883" w:rsidRPr="00E41665">
        <w:t xml:space="preserve">staff and authorities will likely have a negative impact on their ability to provide adequate support to those who need it. </w:t>
      </w:r>
      <w:r w:rsidR="00242000" w:rsidRPr="00E41665">
        <w:t xml:space="preserve"> </w:t>
      </w:r>
    </w:p>
    <w:p w14:paraId="5FBC3CC2" w14:textId="77777777" w:rsidR="00767E7D" w:rsidRPr="00E41665" w:rsidRDefault="00767E7D" w:rsidP="00E54A13"/>
    <w:p w14:paraId="03164A2E" w14:textId="3042E113" w:rsidR="004C5D6E" w:rsidRPr="00E41665" w:rsidRDefault="004C5D6E" w:rsidP="00E54A13">
      <w:r w:rsidRPr="00E41665">
        <w:tab/>
        <w:t xml:space="preserve">"Capacity continues to be an issue due to a steady increase in </w:t>
      </w:r>
      <w:r w:rsidRPr="00E41665">
        <w:tab/>
        <w:t xml:space="preserve">numbers of students but also </w:t>
      </w:r>
      <w:r w:rsidR="00E6761C">
        <w:t>b</w:t>
      </w:r>
      <w:r w:rsidRPr="00E41665">
        <w:t>raille users."</w:t>
      </w:r>
    </w:p>
    <w:p w14:paraId="7519DE20" w14:textId="77777777" w:rsidR="00A1457D" w:rsidRPr="00E41665" w:rsidRDefault="00A1457D" w:rsidP="00E54A13"/>
    <w:p w14:paraId="19B4EA20" w14:textId="10C16B8C" w:rsidR="00767E7D" w:rsidRPr="00E41665" w:rsidRDefault="00A1457D" w:rsidP="00E54A13">
      <w:r w:rsidRPr="00E41665">
        <w:tab/>
      </w:r>
      <w:r w:rsidR="00767E7D" w:rsidRPr="00E41665">
        <w:t xml:space="preserve">"There are increasingly significant pressures upon service delivery </w:t>
      </w:r>
      <w:r w:rsidR="00F54498">
        <w:tab/>
      </w:r>
      <w:r w:rsidR="00767E7D" w:rsidRPr="00E41665">
        <w:t xml:space="preserve">and decisions made to </w:t>
      </w:r>
      <w:r w:rsidR="00767E7D" w:rsidRPr="00E41665">
        <w:tab/>
        <w:t xml:space="preserve">adjust provision have been based upon an </w:t>
      </w:r>
      <w:r w:rsidR="00F54498">
        <w:tab/>
      </w:r>
      <w:r w:rsidR="00767E7D" w:rsidRPr="00E41665">
        <w:t>individual basis."</w:t>
      </w:r>
    </w:p>
    <w:p w14:paraId="4046B73D" w14:textId="77777777" w:rsidR="003C6710" w:rsidRPr="00E41665" w:rsidRDefault="003C6710" w:rsidP="00E54A13"/>
    <w:p w14:paraId="1363E4D3" w14:textId="77777777" w:rsidR="00E54A13" w:rsidRPr="00FA16CE" w:rsidRDefault="00E54A13">
      <w:pPr>
        <w:pStyle w:val="Heading3"/>
        <w:spacing w:before="240"/>
        <w:ind w:left="851" w:hanging="851"/>
        <w:rPr>
          <w:sz w:val="32"/>
          <w:szCs w:val="32"/>
        </w:rPr>
      </w:pPr>
      <w:bookmarkStart w:id="93" w:name="_Toc129775433"/>
      <w:r w:rsidRPr="00FA16CE">
        <w:rPr>
          <w:sz w:val="32"/>
          <w:szCs w:val="32"/>
        </w:rPr>
        <w:lastRenderedPageBreak/>
        <w:t>Proposed changes to provision</w:t>
      </w:r>
      <w:bookmarkEnd w:id="93"/>
    </w:p>
    <w:p w14:paraId="0EADCBE3" w14:textId="33BF4BE2" w:rsidR="00E54A13" w:rsidRDefault="00E54A13" w:rsidP="00E54A13">
      <w:r>
        <w:t>W</w:t>
      </w:r>
      <w:r w:rsidR="728B59C1">
        <w:t>h</w:t>
      </w:r>
      <w:r>
        <w:t>e</w:t>
      </w:r>
      <w:r w:rsidR="728B59C1">
        <w:t>n</w:t>
      </w:r>
      <w:r>
        <w:t xml:space="preserve"> asked if local authorities had any current or proposed reviews of the VI service that will affect the way it’s organised, </w:t>
      </w:r>
      <w:proofErr w:type="gramStart"/>
      <w:r>
        <w:t>managed</w:t>
      </w:r>
      <w:proofErr w:type="gramEnd"/>
      <w:r>
        <w:t xml:space="preserve"> and funded</w:t>
      </w:r>
      <w:r w:rsidR="125DF349">
        <w:t>,</w:t>
      </w:r>
      <w:r>
        <w:t xml:space="preserve"> </w:t>
      </w:r>
      <w:r w:rsidR="1D6D71A4">
        <w:t>7</w:t>
      </w:r>
      <w:r w:rsidR="45BF0EA8">
        <w:t>6</w:t>
      </w:r>
      <w:r w:rsidR="28C34294">
        <w:t xml:space="preserve"> per cent</w:t>
      </w:r>
      <w:r w:rsidR="1D6D71A4">
        <w:t xml:space="preserve"> said no</w:t>
      </w:r>
      <w:r w:rsidR="5381088C">
        <w:t xml:space="preserve">, </w:t>
      </w:r>
      <w:r w:rsidR="1D6D71A4">
        <w:t>18</w:t>
      </w:r>
      <w:r w:rsidR="28C34294">
        <w:t xml:space="preserve"> per cent</w:t>
      </w:r>
      <w:r w:rsidR="1D6D71A4">
        <w:t xml:space="preserve"> said yes</w:t>
      </w:r>
      <w:r w:rsidR="5381088C">
        <w:t xml:space="preserve"> and </w:t>
      </w:r>
      <w:r w:rsidR="30210D90">
        <w:t>6</w:t>
      </w:r>
      <w:r w:rsidR="28C34294">
        <w:t xml:space="preserve"> per cent</w:t>
      </w:r>
      <w:r w:rsidR="5381088C">
        <w:t xml:space="preserve"> </w:t>
      </w:r>
      <w:r w:rsidR="54513077">
        <w:t xml:space="preserve">said they didn't know or </w:t>
      </w:r>
      <w:r w:rsidR="5381088C">
        <w:t>did not provide an answer for this.</w:t>
      </w:r>
      <w:r w:rsidR="00CA59E8">
        <w:t xml:space="preserve"> </w:t>
      </w:r>
      <w:r w:rsidR="005C14F0">
        <w:t>No</w:t>
      </w:r>
      <w:r w:rsidRPr="00E41665">
        <w:t xml:space="preserve"> local authority provided any </w:t>
      </w:r>
      <w:r w:rsidR="005C14F0">
        <w:t>additiona</w:t>
      </w:r>
      <w:r w:rsidR="002323E4">
        <w:t>l</w:t>
      </w:r>
      <w:r w:rsidR="005C14F0">
        <w:t xml:space="preserve"> </w:t>
      </w:r>
      <w:r w:rsidRPr="00E41665">
        <w:t>information</w:t>
      </w:r>
      <w:r w:rsidR="005C14F0">
        <w:t xml:space="preserve"> despite the option to provide this</w:t>
      </w:r>
      <w:r w:rsidR="002323E4">
        <w:t>.</w:t>
      </w:r>
    </w:p>
    <w:p w14:paraId="4CCEE9FA" w14:textId="77777777" w:rsidR="00CA59E8" w:rsidRDefault="00CA59E8" w:rsidP="00E54A13"/>
    <w:p w14:paraId="5D12037E" w14:textId="77777777" w:rsidR="00DF5075" w:rsidRPr="00E41665" w:rsidRDefault="00DF5075" w:rsidP="00E54A13"/>
    <w:p w14:paraId="38BF1167" w14:textId="52880527" w:rsidR="00E54A13" w:rsidRPr="00E41665" w:rsidRDefault="00E54A13">
      <w:pPr>
        <w:pStyle w:val="Heading2"/>
        <w:ind w:left="851" w:hanging="851"/>
        <w:rPr>
          <w:lang w:eastAsia="en-GB"/>
        </w:rPr>
      </w:pPr>
      <w:bookmarkStart w:id="94" w:name="_Toc125543653"/>
      <w:bookmarkStart w:id="95" w:name="_Toc129775434"/>
      <w:r w:rsidRPr="00E41665">
        <w:rPr>
          <w:lang w:eastAsia="en-GB"/>
        </w:rPr>
        <w:t>Budget</w:t>
      </w:r>
      <w:bookmarkEnd w:id="94"/>
      <w:bookmarkEnd w:id="95"/>
    </w:p>
    <w:p w14:paraId="150B75F6" w14:textId="482311B2" w:rsidR="00E54A13" w:rsidRPr="00E41665" w:rsidRDefault="00E54A13" w:rsidP="00E54A13">
      <w:r w:rsidRPr="00E41665">
        <w:t>In the 202</w:t>
      </w:r>
      <w:r w:rsidR="00D0380C" w:rsidRPr="00E41665">
        <w:t>2</w:t>
      </w:r>
      <w:r w:rsidRPr="00E41665">
        <w:t xml:space="preserve"> FOI request, we asked authorities to provide the service budget across three separate years, 2020/21</w:t>
      </w:r>
      <w:r w:rsidR="0080748D" w:rsidRPr="00E41665">
        <w:t xml:space="preserve">, </w:t>
      </w:r>
      <w:r w:rsidRPr="00E41665">
        <w:t>2021/22</w:t>
      </w:r>
      <w:r w:rsidR="0080748D" w:rsidRPr="00E41665">
        <w:t xml:space="preserve"> and 2022/23</w:t>
      </w:r>
      <w:r w:rsidRPr="00E41665">
        <w:t xml:space="preserve">. </w:t>
      </w:r>
    </w:p>
    <w:p w14:paraId="73B9142A" w14:textId="77777777" w:rsidR="00E54A13" w:rsidRPr="00E41665" w:rsidRDefault="00E54A13" w:rsidP="00E54A13"/>
    <w:p w14:paraId="1E477922" w14:textId="473A8AA6" w:rsidR="00E54A13" w:rsidRPr="00E41665" w:rsidRDefault="00E54A13" w:rsidP="00E54A13">
      <w:r>
        <w:t>Out of the total 1</w:t>
      </w:r>
      <w:r w:rsidR="68203F69">
        <w:t>3</w:t>
      </w:r>
      <w:r w:rsidR="1AA464E7">
        <w:t>7</w:t>
      </w:r>
      <w:r>
        <w:t xml:space="preserve"> authorities </w:t>
      </w:r>
      <w:r w:rsidR="68203F69">
        <w:t>that responded</w:t>
      </w:r>
      <w:r>
        <w:t>,</w:t>
      </w:r>
      <w:r w:rsidR="68203F69">
        <w:t xml:space="preserve"> 91</w:t>
      </w:r>
      <w:r w:rsidR="28C34294">
        <w:t xml:space="preserve"> per cent</w:t>
      </w:r>
      <w:r>
        <w:t xml:space="preserve"> have provided budget information. Not all local authorities were able to provide all the years requested and not all were able to separate the service budget for vision impairment services from the</w:t>
      </w:r>
      <w:r w:rsidR="74085639">
        <w:t xml:space="preserve"> overall</w:t>
      </w:r>
      <w:r>
        <w:t xml:space="preserve"> sensory support budget or other combined budgets. Despite this, we can see a </w:t>
      </w:r>
      <w:r w:rsidR="7E2CB6E3">
        <w:t>four</w:t>
      </w:r>
      <w:r w:rsidR="28C34294">
        <w:t xml:space="preserve"> per cent</w:t>
      </w:r>
      <w:r>
        <w:t xml:space="preserve"> </w:t>
      </w:r>
      <w:r w:rsidR="7D58EDD3">
        <w:t>de</w:t>
      </w:r>
      <w:r>
        <w:t xml:space="preserve">crease in the number of LAs that provided budget information compared to the previous year, </w:t>
      </w:r>
      <w:r w:rsidR="2488E5EC">
        <w:t xml:space="preserve">meaning we are unable to paint </w:t>
      </w:r>
      <w:r w:rsidR="74085639">
        <w:t>as</w:t>
      </w:r>
      <w:r w:rsidR="2488E5EC">
        <w:t xml:space="preserve"> </w:t>
      </w:r>
      <w:r>
        <w:t xml:space="preserve">accurate </w:t>
      </w:r>
      <w:r w:rsidR="74085639">
        <w:t xml:space="preserve">a </w:t>
      </w:r>
      <w:r>
        <w:t>picture of service provision</w:t>
      </w:r>
      <w:r w:rsidR="6AA2D61C">
        <w:t xml:space="preserve"> budgets</w:t>
      </w:r>
      <w:r>
        <w:t xml:space="preserve"> in England</w:t>
      </w:r>
      <w:r w:rsidR="74085639">
        <w:t xml:space="preserve"> as we would like</w:t>
      </w:r>
      <w:r>
        <w:t>.</w:t>
      </w:r>
    </w:p>
    <w:p w14:paraId="36FEDA27" w14:textId="77777777" w:rsidR="00E54A13" w:rsidRPr="00E41665" w:rsidRDefault="00E54A13" w:rsidP="00E54A13">
      <w:pPr>
        <w:rPr>
          <w:b/>
        </w:rPr>
      </w:pPr>
    </w:p>
    <w:p w14:paraId="6A03EAF9" w14:textId="77777777" w:rsidR="00E54A13" w:rsidRPr="00FA16CE" w:rsidRDefault="00E54A13">
      <w:pPr>
        <w:pStyle w:val="Heading3"/>
        <w:spacing w:before="240"/>
        <w:ind w:left="851" w:hanging="851"/>
        <w:rPr>
          <w:sz w:val="32"/>
          <w:szCs w:val="32"/>
        </w:rPr>
      </w:pPr>
      <w:bookmarkStart w:id="96" w:name="_Toc129775435"/>
      <w:r w:rsidRPr="00FA16CE">
        <w:rPr>
          <w:sz w:val="32"/>
          <w:szCs w:val="32"/>
        </w:rPr>
        <w:t>Short term funding trends</w:t>
      </w:r>
      <w:bookmarkEnd w:id="96"/>
    </w:p>
    <w:p w14:paraId="089F44DF" w14:textId="5B2EB8FB" w:rsidR="006D19E4" w:rsidRDefault="00E54A13" w:rsidP="00E54A13">
      <w:r w:rsidRPr="00E41665">
        <w:t>Around 1</w:t>
      </w:r>
      <w:r w:rsidR="00F01737" w:rsidRPr="00E41665">
        <w:t>1</w:t>
      </w:r>
      <w:r w:rsidR="00251414">
        <w:t>4</w:t>
      </w:r>
      <w:r w:rsidRPr="00E41665">
        <w:t xml:space="preserve"> authorities provided budget figures</w:t>
      </w:r>
      <w:r w:rsidR="000A71B7" w:rsidRPr="00E41665">
        <w:t>,</w:t>
      </w:r>
      <w:r w:rsidRPr="00E41665">
        <w:t xml:space="preserve"> and it was possible to analyse trend data for </w:t>
      </w:r>
      <w:r w:rsidR="005C0C08" w:rsidRPr="00E41665">
        <w:t>97</w:t>
      </w:r>
      <w:r w:rsidR="00F01737" w:rsidRPr="00E41665">
        <w:t xml:space="preserve"> </w:t>
      </w:r>
      <w:r w:rsidRPr="00E41665">
        <w:t xml:space="preserve">individual authorities. </w:t>
      </w:r>
      <w:r w:rsidR="003634BE" w:rsidRPr="00E41665">
        <w:t>42</w:t>
      </w:r>
      <w:r w:rsidR="00E6761C">
        <w:t xml:space="preserve"> per cent</w:t>
      </w:r>
      <w:r w:rsidR="003634BE" w:rsidRPr="00E41665">
        <w:t xml:space="preserve"> of authorities have seen their budgets being cut or frozen over the last year.</w:t>
      </w:r>
      <w:r w:rsidR="000B0966" w:rsidRPr="00E41665" w:rsidDel="000B0966">
        <w:t xml:space="preserve"> </w:t>
      </w:r>
      <w:r w:rsidR="006D19E4" w:rsidRPr="00E41665">
        <w:t>If we compare these figures to the year before, we can see that the overall number of LAs that have seen budget cuts has increased by 12</w:t>
      </w:r>
      <w:r w:rsidR="00E6761C">
        <w:t xml:space="preserve"> per cent</w:t>
      </w:r>
      <w:r w:rsidR="006D19E4" w:rsidRPr="00E41665">
        <w:t>.</w:t>
      </w:r>
    </w:p>
    <w:p w14:paraId="6B388433" w14:textId="77777777" w:rsidR="006D19E4" w:rsidRDefault="006D19E4" w:rsidP="00E54A13"/>
    <w:p w14:paraId="26E9D128" w14:textId="316967C9" w:rsidR="00E54A13" w:rsidRPr="00E41665" w:rsidRDefault="00647E85" w:rsidP="00E54A13">
      <w:r>
        <w:t>T</w:t>
      </w:r>
      <w:r w:rsidRPr="00E41665">
        <w:t xml:space="preserve">he number of LAs that have seen a budget increase has </w:t>
      </w:r>
      <w:r w:rsidR="00190DD2">
        <w:t xml:space="preserve">also </w:t>
      </w:r>
      <w:r w:rsidRPr="00E41665">
        <w:t xml:space="preserve">dropped </w:t>
      </w:r>
      <w:r w:rsidR="00A92B1E">
        <w:t>three</w:t>
      </w:r>
      <w:r w:rsidR="00E6761C">
        <w:t xml:space="preserve"> per cent</w:t>
      </w:r>
      <w:r w:rsidRPr="00E41665">
        <w:t xml:space="preserve"> since last year</w:t>
      </w:r>
      <w:r w:rsidR="00A76BAC">
        <w:t>.</w:t>
      </w:r>
      <w:r w:rsidR="00CA59E8">
        <w:t xml:space="preserve"> </w:t>
      </w:r>
      <w:r w:rsidR="00E54A13" w:rsidRPr="00E41665">
        <w:t>Among the authorities that had their funding cut over the last year, figures show just over £1</w:t>
      </w:r>
      <w:r w:rsidR="007C6F71" w:rsidRPr="00E41665">
        <w:t xml:space="preserve">3 </w:t>
      </w:r>
      <w:r w:rsidR="00E54A13" w:rsidRPr="00E41665">
        <w:t>million has been lost from service budgets.</w:t>
      </w:r>
    </w:p>
    <w:p w14:paraId="7309BACD" w14:textId="77777777" w:rsidR="00E54A13" w:rsidRPr="00E41665" w:rsidRDefault="00E54A13" w:rsidP="00E54A13"/>
    <w:p w14:paraId="07D801BD" w14:textId="2135233B" w:rsidR="00E54A13" w:rsidRPr="00E41665" w:rsidRDefault="00E54A13" w:rsidP="00E54A13">
      <w:r w:rsidRPr="00E41665">
        <w:t xml:space="preserve">Of the </w:t>
      </w:r>
      <w:r w:rsidR="00594B6B" w:rsidRPr="00E41665">
        <w:t>63</w:t>
      </w:r>
      <w:r w:rsidR="00393068" w:rsidRPr="00E41665">
        <w:t xml:space="preserve"> </w:t>
      </w:r>
      <w:r w:rsidRPr="00E41665">
        <w:t>local authorities that saw an increase in budget in 202</w:t>
      </w:r>
      <w:r w:rsidR="00245F9C" w:rsidRPr="00E41665">
        <w:t>1</w:t>
      </w:r>
      <w:r w:rsidRPr="00E41665">
        <w:t xml:space="preserve">, </w:t>
      </w:r>
      <w:r w:rsidR="00C25649" w:rsidRPr="00E41665">
        <w:t>4</w:t>
      </w:r>
      <w:r w:rsidRPr="00E41665">
        <w:t>6</w:t>
      </w:r>
      <w:r w:rsidR="00A92B1E">
        <w:t xml:space="preserve"> per cent</w:t>
      </w:r>
      <w:r w:rsidRPr="00E41665">
        <w:t xml:space="preserve"> saw further budget increases in 202</w:t>
      </w:r>
      <w:r w:rsidR="00245F9C" w:rsidRPr="00E41665">
        <w:t>2</w:t>
      </w:r>
      <w:r w:rsidRPr="00E41665">
        <w:t xml:space="preserve">, while </w:t>
      </w:r>
      <w:r w:rsidR="00BF4844" w:rsidRPr="00E41665">
        <w:t>22</w:t>
      </w:r>
      <w:r w:rsidR="00A92B1E">
        <w:t xml:space="preserve"> per cent</w:t>
      </w:r>
      <w:r w:rsidRPr="00E41665">
        <w:t xml:space="preserve"> of authorities saw budget cuts.</w:t>
      </w:r>
      <w:r w:rsidR="00CA59E8">
        <w:t xml:space="preserve"> </w:t>
      </w:r>
      <w:r w:rsidRPr="00E41665">
        <w:t xml:space="preserve">Similarly, of the </w:t>
      </w:r>
      <w:r w:rsidR="008E388A" w:rsidRPr="00E41665">
        <w:t>22</w:t>
      </w:r>
      <w:r w:rsidRPr="00E41665">
        <w:t xml:space="preserve"> local authorities that had their budgets cut in 202</w:t>
      </w:r>
      <w:r w:rsidR="008E388A" w:rsidRPr="00E41665">
        <w:t>1</w:t>
      </w:r>
      <w:r w:rsidRPr="00E41665">
        <w:t xml:space="preserve">, </w:t>
      </w:r>
      <w:r w:rsidR="001047BE" w:rsidRPr="00E41665">
        <w:t>23</w:t>
      </w:r>
      <w:r w:rsidR="00A92B1E">
        <w:t xml:space="preserve"> per cent</w:t>
      </w:r>
      <w:r w:rsidRPr="00E41665">
        <w:t xml:space="preserve"> saw their budgets being cut further in 202</w:t>
      </w:r>
      <w:r w:rsidR="00316201" w:rsidRPr="00E41665">
        <w:t>2</w:t>
      </w:r>
      <w:r w:rsidRPr="00E41665">
        <w:t xml:space="preserve">. </w:t>
      </w:r>
    </w:p>
    <w:p w14:paraId="04C7751F" w14:textId="77777777" w:rsidR="00E54A13" w:rsidRPr="00E41665" w:rsidRDefault="00E54A13" w:rsidP="00E54A13"/>
    <w:p w14:paraId="72E4E858" w14:textId="77777777" w:rsidR="00E54A13" w:rsidRPr="00FA16CE" w:rsidRDefault="00E54A13">
      <w:pPr>
        <w:pStyle w:val="Heading3"/>
        <w:spacing w:before="240"/>
        <w:ind w:left="851" w:hanging="851"/>
        <w:rPr>
          <w:sz w:val="32"/>
          <w:szCs w:val="32"/>
        </w:rPr>
      </w:pPr>
      <w:bookmarkStart w:id="97" w:name="_Toc129775436"/>
      <w:r w:rsidRPr="00FA16CE">
        <w:rPr>
          <w:sz w:val="32"/>
          <w:szCs w:val="32"/>
        </w:rPr>
        <w:lastRenderedPageBreak/>
        <w:t>Long term funding trends</w:t>
      </w:r>
      <w:bookmarkEnd w:id="97"/>
    </w:p>
    <w:p w14:paraId="52B2801D" w14:textId="287A1B60" w:rsidR="00E54A13" w:rsidRPr="00E41665" w:rsidRDefault="00E54A13" w:rsidP="00E54A13">
      <w:r w:rsidRPr="00E41665">
        <w:t xml:space="preserve">With the picture for service funding </w:t>
      </w:r>
      <w:r w:rsidR="00854EFB" w:rsidRPr="00E41665">
        <w:t>being so</w:t>
      </w:r>
      <w:r w:rsidRPr="00E41665">
        <w:t xml:space="preserve"> </w:t>
      </w:r>
      <w:r w:rsidR="00854EFB" w:rsidRPr="00E41665">
        <w:t xml:space="preserve">unpredictable </w:t>
      </w:r>
      <w:r w:rsidRPr="00E41665">
        <w:t xml:space="preserve">at an individual local authority level, </w:t>
      </w:r>
      <w:r w:rsidR="00BB77E4" w:rsidRPr="00E41665">
        <w:t xml:space="preserve">it's important to consider the </w:t>
      </w:r>
      <w:r w:rsidRPr="00E41665">
        <w:t>long</w:t>
      </w:r>
      <w:r w:rsidR="004B31E6">
        <w:t xml:space="preserve"> </w:t>
      </w:r>
      <w:r w:rsidRPr="00E41665">
        <w:t>term trends</w:t>
      </w:r>
      <w:r w:rsidR="00AB1265" w:rsidRPr="00E41665">
        <w:t xml:space="preserve">. </w:t>
      </w:r>
      <w:r w:rsidR="00A76BAC">
        <w:t>The</w:t>
      </w:r>
      <w:r w:rsidRPr="00E41665">
        <w:t xml:space="preserve"> analysis </w:t>
      </w:r>
      <w:r w:rsidR="00A76BAC">
        <w:t xml:space="preserve">below </w:t>
      </w:r>
      <w:r w:rsidRPr="00E41665">
        <w:t>is taken from 1</w:t>
      </w:r>
      <w:r w:rsidR="00046E80" w:rsidRPr="00E41665">
        <w:t>12</w:t>
      </w:r>
      <w:r w:rsidRPr="00E41665">
        <w:t xml:space="preserve"> local authorities </w:t>
      </w:r>
      <w:r w:rsidR="00CD18F8" w:rsidRPr="00E41665">
        <w:t xml:space="preserve">that provided some budget data </w:t>
      </w:r>
      <w:r w:rsidRPr="00E41665">
        <w:t>for the past f</w:t>
      </w:r>
      <w:r w:rsidR="00046E80" w:rsidRPr="00E41665">
        <w:t>ive</w:t>
      </w:r>
      <w:r w:rsidRPr="00E41665">
        <w:t xml:space="preserve"> years</w:t>
      </w:r>
      <w:r w:rsidR="00D74F43">
        <w:t xml:space="preserve">. </w:t>
      </w:r>
    </w:p>
    <w:p w14:paraId="24E9B406" w14:textId="77777777" w:rsidR="00E54A13" w:rsidRPr="00E41665" w:rsidRDefault="00E54A13" w:rsidP="00E54A13"/>
    <w:p w14:paraId="34AC1BB4" w14:textId="6FDDFFED" w:rsidR="00E54A13" w:rsidRPr="00E41665" w:rsidRDefault="00E54A13" w:rsidP="00E54A13">
      <w:r w:rsidRPr="00E41665">
        <w:t>In the past f</w:t>
      </w:r>
      <w:r w:rsidR="001C635D" w:rsidRPr="00E41665">
        <w:t>ive</w:t>
      </w:r>
      <w:r w:rsidRPr="00E41665">
        <w:t xml:space="preserve"> years</w:t>
      </w:r>
      <w:r w:rsidR="0086530D" w:rsidRPr="00E41665">
        <w:t xml:space="preserve">, </w:t>
      </w:r>
      <w:r w:rsidR="007A72D4" w:rsidRPr="00E41665">
        <w:t>29</w:t>
      </w:r>
      <w:r w:rsidRPr="00E41665">
        <w:t xml:space="preserve"> authorities have seen their budget cut at least once, which represents </w:t>
      </w:r>
      <w:r w:rsidR="00B3645E">
        <w:t>over a third o</w:t>
      </w:r>
      <w:r w:rsidRPr="00E41665">
        <w:t>f local authorities</w:t>
      </w:r>
      <w:r w:rsidR="00600DFE" w:rsidRPr="00E41665">
        <w:t xml:space="preserve"> (</w:t>
      </w:r>
      <w:r w:rsidR="00B3645E">
        <w:t>35</w:t>
      </w:r>
      <w:r w:rsidR="00135FC1">
        <w:t xml:space="preserve"> per cent</w:t>
      </w:r>
      <w:r w:rsidR="00600DFE" w:rsidRPr="00E41665">
        <w:t>)</w:t>
      </w:r>
      <w:r w:rsidRPr="00E41665">
        <w:t xml:space="preserve">. These authorities with unstable funding provision support a total of </w:t>
      </w:r>
      <w:r w:rsidR="00B64A93">
        <w:t>5,729</w:t>
      </w:r>
      <w:r w:rsidR="00155169">
        <w:t xml:space="preserve"> of </w:t>
      </w:r>
      <w:r w:rsidR="00874031">
        <w:t xml:space="preserve">the total number of </w:t>
      </w:r>
      <w:r w:rsidRPr="00E41665">
        <w:t>children and young people</w:t>
      </w:r>
      <w:r w:rsidR="00155169">
        <w:t xml:space="preserve"> with VI</w:t>
      </w:r>
      <w:r w:rsidR="009200F7">
        <w:t>.</w:t>
      </w:r>
    </w:p>
    <w:p w14:paraId="57B61131" w14:textId="77777777" w:rsidR="00E54A13" w:rsidRPr="00E41665" w:rsidRDefault="00E54A13" w:rsidP="00E54A13"/>
    <w:p w14:paraId="7EBE57E5" w14:textId="1A7C6291" w:rsidR="00E54A13" w:rsidRPr="00E41665" w:rsidRDefault="001C2FBC" w:rsidP="00E54A13">
      <w:r>
        <w:t>Worryingly,</w:t>
      </w:r>
      <w:r w:rsidR="0083441B">
        <w:t xml:space="preserve"> o</w:t>
      </w:r>
      <w:r w:rsidR="00E54A13" w:rsidRPr="00E41665">
        <w:t>ne local authority identified in the analysis has seen its budget decrease for three years in a row, which has led to the budget of this particular LA being cut by 10</w:t>
      </w:r>
      <w:r w:rsidR="00813D05">
        <w:t xml:space="preserve"> per cent</w:t>
      </w:r>
      <w:r w:rsidR="00E54A13" w:rsidRPr="00E41665">
        <w:t>.</w:t>
      </w:r>
    </w:p>
    <w:p w14:paraId="122D028F" w14:textId="77777777" w:rsidR="00E54A13" w:rsidRPr="00E41665" w:rsidRDefault="00E54A13" w:rsidP="00E54A13"/>
    <w:p w14:paraId="63C7D787" w14:textId="77777777" w:rsidR="00E54A13" w:rsidRPr="003455DE" w:rsidRDefault="00E54A13">
      <w:pPr>
        <w:pStyle w:val="Heading3"/>
        <w:spacing w:before="240"/>
        <w:ind w:left="851" w:hanging="851"/>
        <w:rPr>
          <w:sz w:val="32"/>
          <w:szCs w:val="32"/>
        </w:rPr>
      </w:pPr>
      <w:bookmarkStart w:id="98" w:name="_Toc129775437"/>
      <w:r w:rsidRPr="003455DE">
        <w:rPr>
          <w:sz w:val="32"/>
          <w:szCs w:val="32"/>
        </w:rPr>
        <w:t>Impact on support to CYP</w:t>
      </w:r>
      <w:bookmarkEnd w:id="98"/>
    </w:p>
    <w:p w14:paraId="04A43D00" w14:textId="24B06E36" w:rsidR="00E54A13" w:rsidRPr="00E41665" w:rsidRDefault="00E54A13" w:rsidP="00E54A13">
      <w:r w:rsidRPr="00E41665">
        <w:t xml:space="preserve">A </w:t>
      </w:r>
      <w:r w:rsidR="009B6566" w:rsidRPr="00E41665">
        <w:t>steady</w:t>
      </w:r>
      <w:r w:rsidRPr="00E41665">
        <w:t xml:space="preserve"> increase in children and young people using VI service</w:t>
      </w:r>
      <w:r w:rsidR="00CB7F76">
        <w:t>s</w:t>
      </w:r>
      <w:r w:rsidRPr="00E41665">
        <w:t xml:space="preserve"> means local authorities are having to make their budgets stretch further, which is likely to leave less funding available per head and for </w:t>
      </w:r>
      <w:r w:rsidRPr="00E41665">
        <w:rPr>
          <w:rFonts w:cs="Arial"/>
          <w:szCs w:val="28"/>
        </w:rPr>
        <w:t xml:space="preserve">those </w:t>
      </w:r>
      <w:r w:rsidRPr="00E41665">
        <w:rPr>
          <w:rFonts w:cs="Arial"/>
          <w:szCs w:val="28"/>
          <w:shd w:val="clear" w:color="auto" w:fill="FFFFFF"/>
        </w:rPr>
        <w:t>requiring the highest level of specialist input.</w:t>
      </w:r>
      <w:r w:rsidRPr="00E41665">
        <w:t xml:space="preserve"> </w:t>
      </w:r>
      <w:r w:rsidR="00191B08" w:rsidRPr="00E41665">
        <w:t>Whil</w:t>
      </w:r>
      <w:r w:rsidR="00813D05">
        <w:t>e</w:t>
      </w:r>
      <w:r w:rsidR="00191B08" w:rsidRPr="00E41665">
        <w:t xml:space="preserve"> some local authorities are recognising the importance of the VI </w:t>
      </w:r>
      <w:r w:rsidR="004B1739">
        <w:t>specialist</w:t>
      </w:r>
      <w:r w:rsidR="004B1739" w:rsidRPr="00E41665">
        <w:t xml:space="preserve"> </w:t>
      </w:r>
      <w:r w:rsidR="00191B08" w:rsidRPr="00E41665">
        <w:t>service</w:t>
      </w:r>
      <w:r w:rsidR="004B1739">
        <w:t>s</w:t>
      </w:r>
      <w:r w:rsidR="00191B08" w:rsidRPr="00E41665">
        <w:t xml:space="preserve">, others are </w:t>
      </w:r>
      <w:r w:rsidR="0015795F">
        <w:t xml:space="preserve">not </w:t>
      </w:r>
      <w:r w:rsidR="00B050BA">
        <w:t>m</w:t>
      </w:r>
      <w:r w:rsidR="00191B08" w:rsidRPr="00E41665">
        <w:t>ak</w:t>
      </w:r>
      <w:r w:rsidR="00B050BA">
        <w:t>ing</w:t>
      </w:r>
      <w:r w:rsidR="00191B08" w:rsidRPr="00E41665">
        <w:t xml:space="preserve"> the </w:t>
      </w:r>
      <w:r w:rsidR="00C962B5">
        <w:t>required</w:t>
      </w:r>
      <w:r w:rsidR="00C962B5" w:rsidRPr="00E41665">
        <w:t xml:space="preserve"> </w:t>
      </w:r>
      <w:r w:rsidR="00191B08" w:rsidRPr="00E41665">
        <w:t>investment to maintain service levels.</w:t>
      </w:r>
    </w:p>
    <w:p w14:paraId="2BC4CC25" w14:textId="77777777" w:rsidR="00E54A13" w:rsidRPr="00E41665" w:rsidRDefault="00E54A13" w:rsidP="00E54A13"/>
    <w:p w14:paraId="37D86230" w14:textId="14C6A464" w:rsidR="00E54A13" w:rsidRPr="00E41665" w:rsidRDefault="00E54A13" w:rsidP="00E54A13">
      <w:r w:rsidRPr="00E41665">
        <w:t>The evidence of budget cuts</w:t>
      </w:r>
      <w:r w:rsidR="00833F82" w:rsidRPr="00E41665">
        <w:t>,</w:t>
      </w:r>
      <w:r w:rsidRPr="00E41665">
        <w:t xml:space="preserve"> alternated with budget increases</w:t>
      </w:r>
      <w:r w:rsidR="00833F82" w:rsidRPr="00E41665">
        <w:t>,</w:t>
      </w:r>
      <w:r w:rsidRPr="00E41665">
        <w:t xml:space="preserve"> suggests that service budgets are </w:t>
      </w:r>
      <w:r w:rsidR="00B07CF3" w:rsidRPr="00E41665">
        <w:t>unpredictable</w:t>
      </w:r>
      <w:r w:rsidRPr="00E41665">
        <w:t xml:space="preserve"> and not secure from one year to the next. However, with the </w:t>
      </w:r>
      <w:r w:rsidR="004E6622" w:rsidRPr="00E41665">
        <w:t xml:space="preserve">increasing </w:t>
      </w:r>
      <w:r w:rsidRPr="00E41665">
        <w:t xml:space="preserve">number of children on </w:t>
      </w:r>
      <w:r w:rsidR="00BC5EA8">
        <w:t xml:space="preserve">active </w:t>
      </w:r>
      <w:r w:rsidRPr="00E41665">
        <w:t xml:space="preserve">caseload, the reason for fluctuating budgets is not entirely clear and is likely to be managed differently in each local authority. </w:t>
      </w:r>
    </w:p>
    <w:p w14:paraId="033B8E81" w14:textId="77777777" w:rsidR="00E54A13" w:rsidRPr="00E41665" w:rsidRDefault="00E54A13" w:rsidP="00E54A13"/>
    <w:p w14:paraId="1ED68DC8" w14:textId="77777777" w:rsidR="00E54A13" w:rsidRPr="003455DE" w:rsidRDefault="00E54A13">
      <w:pPr>
        <w:pStyle w:val="Heading3"/>
        <w:spacing w:before="240"/>
        <w:ind w:left="851" w:hanging="851"/>
        <w:rPr>
          <w:sz w:val="32"/>
          <w:szCs w:val="32"/>
        </w:rPr>
      </w:pPr>
      <w:bookmarkStart w:id="99" w:name="_Toc129775438"/>
      <w:r w:rsidRPr="003455DE">
        <w:rPr>
          <w:sz w:val="32"/>
          <w:szCs w:val="32"/>
        </w:rPr>
        <w:t>Regional trends</w:t>
      </w:r>
      <w:bookmarkEnd w:id="99"/>
    </w:p>
    <w:p w14:paraId="55EB354D" w14:textId="41A1DB61" w:rsidR="00DF2A49" w:rsidRPr="00E41665" w:rsidRDefault="00DF2A49" w:rsidP="00DF2A49">
      <w:r w:rsidRPr="00E41665">
        <w:t xml:space="preserve">Comparing regional trends in funding, </w:t>
      </w:r>
      <w:r w:rsidR="00813D05">
        <w:t>more than half</w:t>
      </w:r>
      <w:r w:rsidRPr="00E41665">
        <w:t xml:space="preserve"> of authorities in the </w:t>
      </w:r>
      <w:r w:rsidR="0095024E">
        <w:t>North</w:t>
      </w:r>
      <w:r w:rsidRPr="00E41665">
        <w:t xml:space="preserve"> West and South East regions have had budgets frozen or cut in the last year.</w:t>
      </w:r>
      <w:r w:rsidR="00FE27F9">
        <w:t xml:space="preserve"> </w:t>
      </w:r>
      <w:r w:rsidR="001C5950" w:rsidRPr="00E41665">
        <w:t>Whereas</w:t>
      </w:r>
      <w:r w:rsidRPr="00E41665">
        <w:t xml:space="preserve"> </w:t>
      </w:r>
      <w:r w:rsidR="001C5950">
        <w:t>the South West</w:t>
      </w:r>
      <w:r w:rsidR="004539E5">
        <w:t xml:space="preserve"> </w:t>
      </w:r>
      <w:r w:rsidRPr="00E41665">
        <w:t>have the lowest proportion of local authorities with budget cuts</w:t>
      </w:r>
      <w:r w:rsidRPr="00E41665" w:rsidDel="00F23638">
        <w:t xml:space="preserve"> </w:t>
      </w:r>
      <w:r w:rsidRPr="00E41665">
        <w:t>or fr</w:t>
      </w:r>
      <w:r w:rsidR="00575E67">
        <w:t>ozen</w:t>
      </w:r>
      <w:r w:rsidRPr="00E41665">
        <w:t xml:space="preserve"> at 2</w:t>
      </w:r>
      <w:r w:rsidR="001C5950">
        <w:t>0</w:t>
      </w:r>
      <w:r w:rsidR="00813D05">
        <w:t xml:space="preserve"> per cent</w:t>
      </w:r>
      <w:r w:rsidRPr="00E41665">
        <w:t>.</w:t>
      </w:r>
    </w:p>
    <w:p w14:paraId="3B68ACFB" w14:textId="77777777" w:rsidR="00DF2A49" w:rsidRPr="00E41665" w:rsidRDefault="00DF2A49" w:rsidP="00DF2A49"/>
    <w:p w14:paraId="1F1551B2" w14:textId="7FCC8F87" w:rsidR="004B1739" w:rsidRPr="00E41665" w:rsidRDefault="00DF2A49" w:rsidP="00E54A13">
      <w:r w:rsidRPr="00E41665">
        <w:t xml:space="preserve">However, not all authorities provided budget data and the local trends across over </w:t>
      </w:r>
      <w:r w:rsidR="00575E67">
        <w:t>55</w:t>
      </w:r>
      <w:r w:rsidRPr="00E41665">
        <w:t xml:space="preserve"> authorities remains unknown. The proportion of LAs with a budget freeze or cut by region is presented in table</w:t>
      </w:r>
      <w:r w:rsidR="00B27B91">
        <w:t xml:space="preserve"> 1</w:t>
      </w:r>
      <w:r w:rsidRPr="00E41665">
        <w:t xml:space="preserve"> belo</w:t>
      </w:r>
      <w:r w:rsidR="004B1739">
        <w:t>w</w:t>
      </w:r>
      <w:r w:rsidRPr="00E41665">
        <w:t>. These regional trends may vary if all authorities had provided accurate budget data.</w:t>
      </w:r>
    </w:p>
    <w:p w14:paraId="30B2DB7A" w14:textId="0A115D34" w:rsidR="00E54A13" w:rsidRPr="00EF2AAC" w:rsidRDefault="00E54A13" w:rsidP="00C7212C">
      <w:pPr>
        <w:spacing w:line="276" w:lineRule="auto"/>
      </w:pPr>
      <w:r w:rsidRPr="00EF2AAC">
        <w:lastRenderedPageBreak/>
        <w:t>Table</w:t>
      </w:r>
      <w:r w:rsidR="003455DE">
        <w:t xml:space="preserve"> 1</w:t>
      </w:r>
      <w:r w:rsidRPr="00EF2AAC">
        <w:t>: Regional budget trends, 202</w:t>
      </w:r>
      <w:r w:rsidR="00E2256B" w:rsidRPr="00EF2AAC">
        <w:t>1</w:t>
      </w:r>
      <w:r w:rsidRPr="00EF2AAC">
        <w:t>/2</w:t>
      </w:r>
      <w:r w:rsidR="00E2256B" w:rsidRPr="00EF2AAC">
        <w:t>2</w:t>
      </w:r>
      <w:r w:rsidRPr="00EF2AAC">
        <w:t xml:space="preserve"> to 202</w:t>
      </w:r>
      <w:r w:rsidR="00E2256B" w:rsidRPr="00EF2AAC">
        <w:t>2</w:t>
      </w:r>
      <w:r w:rsidRPr="00EF2AAC">
        <w:t>/2</w:t>
      </w:r>
      <w:r w:rsidR="00E2256B" w:rsidRPr="00EF2AAC">
        <w:t>3</w:t>
      </w:r>
    </w:p>
    <w:tbl>
      <w:tblPr>
        <w:tblStyle w:val="TableGrid"/>
        <w:tblW w:w="9016" w:type="dxa"/>
        <w:tblLook w:val="04A0" w:firstRow="1" w:lastRow="0" w:firstColumn="1" w:lastColumn="0" w:noHBand="0" w:noVBand="1"/>
      </w:tblPr>
      <w:tblGrid>
        <w:gridCol w:w="2263"/>
        <w:gridCol w:w="1560"/>
        <w:gridCol w:w="2268"/>
        <w:gridCol w:w="2925"/>
      </w:tblGrid>
      <w:tr w:rsidR="003455DE" w:rsidRPr="00CA59E8" w14:paraId="10287DC3" w14:textId="77777777" w:rsidTr="003455DE">
        <w:trPr>
          <w:trHeight w:val="497"/>
        </w:trPr>
        <w:tc>
          <w:tcPr>
            <w:tcW w:w="2263" w:type="dxa"/>
            <w:noWrap/>
            <w:vAlign w:val="center"/>
            <w:hideMark/>
          </w:tcPr>
          <w:p w14:paraId="589A92E3" w14:textId="33749F1B" w:rsidR="0037603F" w:rsidRPr="00CA59E8" w:rsidRDefault="0037603F" w:rsidP="00EF2AAC">
            <w:r w:rsidRPr="00CA59E8">
              <w:t>Region</w:t>
            </w:r>
          </w:p>
        </w:tc>
        <w:tc>
          <w:tcPr>
            <w:tcW w:w="1560" w:type="dxa"/>
            <w:noWrap/>
            <w:vAlign w:val="center"/>
            <w:hideMark/>
          </w:tcPr>
          <w:p w14:paraId="3D01F7D1" w14:textId="0F61240F" w:rsidR="0037603F" w:rsidRPr="00CA59E8" w:rsidRDefault="003455DE" w:rsidP="00EF2AAC">
            <w:r w:rsidRPr="00CA59E8">
              <w:t>Total number of LAs</w:t>
            </w:r>
          </w:p>
        </w:tc>
        <w:tc>
          <w:tcPr>
            <w:tcW w:w="2268" w:type="dxa"/>
            <w:noWrap/>
            <w:hideMark/>
          </w:tcPr>
          <w:p w14:paraId="0F8CCF3E" w14:textId="402EBB8D" w:rsidR="0037603F" w:rsidRPr="00CA59E8" w:rsidRDefault="003455DE" w:rsidP="003455DE">
            <w:pPr>
              <w:ind w:right="-103"/>
            </w:pPr>
            <w:r w:rsidRPr="00CA59E8">
              <w:t xml:space="preserve">Number of LAs </w:t>
            </w:r>
            <w:r w:rsidR="0037603F" w:rsidRPr="00CA59E8">
              <w:t>providing budget data</w:t>
            </w:r>
          </w:p>
        </w:tc>
        <w:tc>
          <w:tcPr>
            <w:tcW w:w="2925" w:type="dxa"/>
            <w:noWrap/>
            <w:hideMark/>
          </w:tcPr>
          <w:p w14:paraId="27F7277C" w14:textId="278BB853" w:rsidR="0037603F" w:rsidRPr="00CA59E8" w:rsidRDefault="0037603F" w:rsidP="0037603F">
            <w:r w:rsidRPr="00CA59E8">
              <w:t>Proportion of L</w:t>
            </w:r>
            <w:r w:rsidR="003455DE" w:rsidRPr="00CA59E8">
              <w:t>As</w:t>
            </w:r>
            <w:r w:rsidRPr="00CA59E8">
              <w:t xml:space="preserve"> with budget freeze or cuts </w:t>
            </w:r>
          </w:p>
        </w:tc>
      </w:tr>
      <w:tr w:rsidR="003455DE" w:rsidRPr="00E41665" w14:paraId="14C2951A" w14:textId="77777777" w:rsidTr="003455DE">
        <w:trPr>
          <w:trHeight w:val="277"/>
        </w:trPr>
        <w:tc>
          <w:tcPr>
            <w:tcW w:w="2263" w:type="dxa"/>
            <w:noWrap/>
            <w:hideMark/>
          </w:tcPr>
          <w:p w14:paraId="7C6D66D8" w14:textId="4F114874" w:rsidR="0037603F" w:rsidRPr="00E41665" w:rsidRDefault="0037603F" w:rsidP="0037603F">
            <w:pPr>
              <w:rPr>
                <w:rFonts w:cs="Arial"/>
                <w:szCs w:val="28"/>
              </w:rPr>
            </w:pPr>
            <w:r w:rsidRPr="00D72BBE">
              <w:t>North West</w:t>
            </w:r>
          </w:p>
        </w:tc>
        <w:tc>
          <w:tcPr>
            <w:tcW w:w="1560" w:type="dxa"/>
            <w:noWrap/>
            <w:hideMark/>
          </w:tcPr>
          <w:p w14:paraId="0C0F77D7" w14:textId="651563C1" w:rsidR="0037603F" w:rsidRPr="00E41665" w:rsidRDefault="0037603F" w:rsidP="0037603F">
            <w:pPr>
              <w:jc w:val="center"/>
              <w:rPr>
                <w:rFonts w:cs="Arial"/>
                <w:szCs w:val="28"/>
              </w:rPr>
            </w:pPr>
            <w:r w:rsidRPr="00D72BBE">
              <w:t>23</w:t>
            </w:r>
          </w:p>
        </w:tc>
        <w:tc>
          <w:tcPr>
            <w:tcW w:w="2268" w:type="dxa"/>
            <w:noWrap/>
          </w:tcPr>
          <w:p w14:paraId="487520E3" w14:textId="00A0C63F" w:rsidR="0037603F" w:rsidRPr="00E41665" w:rsidRDefault="0037603F" w:rsidP="0037603F">
            <w:pPr>
              <w:jc w:val="center"/>
              <w:rPr>
                <w:rFonts w:cs="Arial"/>
                <w:szCs w:val="28"/>
              </w:rPr>
            </w:pPr>
            <w:r w:rsidRPr="00D72BBE">
              <w:t>14</w:t>
            </w:r>
          </w:p>
        </w:tc>
        <w:tc>
          <w:tcPr>
            <w:tcW w:w="2925" w:type="dxa"/>
            <w:noWrap/>
            <w:hideMark/>
          </w:tcPr>
          <w:p w14:paraId="507B7DA1" w14:textId="32E21E47" w:rsidR="0037603F" w:rsidRPr="00E41665" w:rsidRDefault="0037603F" w:rsidP="0037603F">
            <w:pPr>
              <w:jc w:val="center"/>
              <w:rPr>
                <w:rFonts w:cs="Arial"/>
                <w:szCs w:val="28"/>
              </w:rPr>
            </w:pPr>
            <w:r w:rsidRPr="00D72BBE">
              <w:t>57%</w:t>
            </w:r>
          </w:p>
        </w:tc>
      </w:tr>
      <w:tr w:rsidR="003455DE" w:rsidRPr="00E41665" w14:paraId="3E20EF4D" w14:textId="77777777" w:rsidTr="003455DE">
        <w:trPr>
          <w:trHeight w:val="296"/>
        </w:trPr>
        <w:tc>
          <w:tcPr>
            <w:tcW w:w="2263" w:type="dxa"/>
            <w:noWrap/>
            <w:hideMark/>
          </w:tcPr>
          <w:p w14:paraId="07DED14D" w14:textId="27B056E6" w:rsidR="0037603F" w:rsidRPr="00E41665" w:rsidRDefault="0037603F" w:rsidP="0037603F">
            <w:pPr>
              <w:rPr>
                <w:rFonts w:cs="Arial"/>
                <w:szCs w:val="28"/>
              </w:rPr>
            </w:pPr>
            <w:r w:rsidRPr="00D72BBE">
              <w:t>South East</w:t>
            </w:r>
          </w:p>
        </w:tc>
        <w:tc>
          <w:tcPr>
            <w:tcW w:w="1560" w:type="dxa"/>
            <w:noWrap/>
            <w:hideMark/>
          </w:tcPr>
          <w:p w14:paraId="0A103C0F" w14:textId="33027103" w:rsidR="0037603F" w:rsidRPr="00E41665" w:rsidRDefault="0037603F" w:rsidP="0037603F">
            <w:pPr>
              <w:jc w:val="center"/>
              <w:rPr>
                <w:rFonts w:cs="Arial"/>
                <w:szCs w:val="28"/>
              </w:rPr>
            </w:pPr>
            <w:r w:rsidRPr="00D72BBE">
              <w:t>19</w:t>
            </w:r>
          </w:p>
        </w:tc>
        <w:tc>
          <w:tcPr>
            <w:tcW w:w="2268" w:type="dxa"/>
            <w:noWrap/>
          </w:tcPr>
          <w:p w14:paraId="2BDCD10F" w14:textId="7FB64BCD" w:rsidR="0037603F" w:rsidRPr="00E41665" w:rsidRDefault="0037603F" w:rsidP="0037603F">
            <w:pPr>
              <w:jc w:val="center"/>
              <w:rPr>
                <w:rFonts w:cs="Arial"/>
                <w:szCs w:val="28"/>
              </w:rPr>
            </w:pPr>
            <w:r w:rsidRPr="00D72BBE">
              <w:t>13</w:t>
            </w:r>
          </w:p>
        </w:tc>
        <w:tc>
          <w:tcPr>
            <w:tcW w:w="2925" w:type="dxa"/>
            <w:noWrap/>
            <w:hideMark/>
          </w:tcPr>
          <w:p w14:paraId="514CFC79" w14:textId="0F86F984" w:rsidR="0037603F" w:rsidRPr="00E41665" w:rsidRDefault="0037603F" w:rsidP="0037603F">
            <w:pPr>
              <w:jc w:val="center"/>
              <w:rPr>
                <w:rFonts w:cs="Arial"/>
                <w:szCs w:val="28"/>
              </w:rPr>
            </w:pPr>
            <w:r w:rsidRPr="00D72BBE">
              <w:t>54%</w:t>
            </w:r>
          </w:p>
        </w:tc>
      </w:tr>
      <w:tr w:rsidR="003455DE" w:rsidRPr="00E41665" w14:paraId="2940FB7D" w14:textId="77777777" w:rsidTr="003455DE">
        <w:trPr>
          <w:trHeight w:val="296"/>
        </w:trPr>
        <w:tc>
          <w:tcPr>
            <w:tcW w:w="2263" w:type="dxa"/>
            <w:noWrap/>
            <w:hideMark/>
          </w:tcPr>
          <w:p w14:paraId="1089207C" w14:textId="481EE663" w:rsidR="0037603F" w:rsidRPr="00E41665" w:rsidRDefault="0037603F" w:rsidP="0037603F">
            <w:pPr>
              <w:rPr>
                <w:rFonts w:cs="Arial"/>
                <w:szCs w:val="28"/>
              </w:rPr>
            </w:pPr>
            <w:r w:rsidRPr="00D72BBE">
              <w:t>London</w:t>
            </w:r>
          </w:p>
        </w:tc>
        <w:tc>
          <w:tcPr>
            <w:tcW w:w="1560" w:type="dxa"/>
            <w:noWrap/>
            <w:hideMark/>
          </w:tcPr>
          <w:p w14:paraId="77B001C5" w14:textId="64794EF6" w:rsidR="0037603F" w:rsidRPr="00E41665" w:rsidRDefault="0037603F" w:rsidP="0037603F">
            <w:pPr>
              <w:jc w:val="center"/>
              <w:rPr>
                <w:rFonts w:cs="Arial"/>
                <w:szCs w:val="28"/>
              </w:rPr>
            </w:pPr>
            <w:r w:rsidRPr="00D72BBE">
              <w:t>33</w:t>
            </w:r>
          </w:p>
        </w:tc>
        <w:tc>
          <w:tcPr>
            <w:tcW w:w="2268" w:type="dxa"/>
            <w:noWrap/>
          </w:tcPr>
          <w:p w14:paraId="3640E2C5" w14:textId="0AF2F62F" w:rsidR="0037603F" w:rsidRPr="00E41665" w:rsidRDefault="0037603F" w:rsidP="0037603F">
            <w:pPr>
              <w:jc w:val="center"/>
              <w:rPr>
                <w:rFonts w:cs="Arial"/>
                <w:szCs w:val="28"/>
              </w:rPr>
            </w:pPr>
            <w:r w:rsidRPr="00D72BBE">
              <w:t>20</w:t>
            </w:r>
          </w:p>
        </w:tc>
        <w:tc>
          <w:tcPr>
            <w:tcW w:w="2925" w:type="dxa"/>
            <w:noWrap/>
            <w:hideMark/>
          </w:tcPr>
          <w:p w14:paraId="7248714F" w14:textId="25DB1403" w:rsidR="0037603F" w:rsidRPr="00E41665" w:rsidRDefault="0037603F" w:rsidP="0037603F">
            <w:pPr>
              <w:jc w:val="center"/>
              <w:rPr>
                <w:rFonts w:cs="Arial"/>
                <w:szCs w:val="28"/>
              </w:rPr>
            </w:pPr>
            <w:r w:rsidRPr="00D72BBE">
              <w:t>45%</w:t>
            </w:r>
          </w:p>
        </w:tc>
      </w:tr>
      <w:tr w:rsidR="003455DE" w:rsidRPr="00E41665" w14:paraId="702F6CF9" w14:textId="77777777" w:rsidTr="003455DE">
        <w:trPr>
          <w:trHeight w:val="296"/>
        </w:trPr>
        <w:tc>
          <w:tcPr>
            <w:tcW w:w="2263" w:type="dxa"/>
            <w:noWrap/>
            <w:hideMark/>
          </w:tcPr>
          <w:p w14:paraId="3CFCC479" w14:textId="609B6DA3" w:rsidR="0037603F" w:rsidRPr="00E41665" w:rsidRDefault="0037603F" w:rsidP="0037603F">
            <w:pPr>
              <w:rPr>
                <w:rFonts w:cs="Arial"/>
                <w:szCs w:val="28"/>
              </w:rPr>
            </w:pPr>
            <w:r w:rsidRPr="00D72BBE">
              <w:t>East Midlands</w:t>
            </w:r>
          </w:p>
        </w:tc>
        <w:tc>
          <w:tcPr>
            <w:tcW w:w="1560" w:type="dxa"/>
            <w:noWrap/>
            <w:hideMark/>
          </w:tcPr>
          <w:p w14:paraId="480A3C89" w14:textId="45C9E90C" w:rsidR="0037603F" w:rsidRPr="00E41665" w:rsidRDefault="0037603F" w:rsidP="0037603F">
            <w:pPr>
              <w:jc w:val="center"/>
              <w:rPr>
                <w:rFonts w:cs="Arial"/>
                <w:szCs w:val="28"/>
              </w:rPr>
            </w:pPr>
            <w:r w:rsidRPr="00D72BBE">
              <w:t>9</w:t>
            </w:r>
          </w:p>
        </w:tc>
        <w:tc>
          <w:tcPr>
            <w:tcW w:w="2268" w:type="dxa"/>
            <w:noWrap/>
          </w:tcPr>
          <w:p w14:paraId="4BC120CC" w14:textId="6DFE3B3C" w:rsidR="0037603F" w:rsidRPr="00E41665" w:rsidRDefault="0037603F" w:rsidP="0037603F">
            <w:pPr>
              <w:jc w:val="center"/>
              <w:rPr>
                <w:rFonts w:cs="Arial"/>
                <w:szCs w:val="28"/>
              </w:rPr>
            </w:pPr>
            <w:r w:rsidRPr="00D72BBE">
              <w:t>7</w:t>
            </w:r>
          </w:p>
        </w:tc>
        <w:tc>
          <w:tcPr>
            <w:tcW w:w="2925" w:type="dxa"/>
            <w:noWrap/>
            <w:hideMark/>
          </w:tcPr>
          <w:p w14:paraId="4B140175" w14:textId="4D3370BF" w:rsidR="0037603F" w:rsidRPr="00E41665" w:rsidRDefault="0037603F" w:rsidP="0037603F">
            <w:pPr>
              <w:jc w:val="center"/>
              <w:rPr>
                <w:rFonts w:cs="Arial"/>
                <w:szCs w:val="28"/>
              </w:rPr>
            </w:pPr>
            <w:r w:rsidRPr="00D72BBE">
              <w:t>43%</w:t>
            </w:r>
          </w:p>
        </w:tc>
      </w:tr>
      <w:tr w:rsidR="003455DE" w:rsidRPr="00E41665" w14:paraId="5168A48D" w14:textId="77777777" w:rsidTr="003455DE">
        <w:trPr>
          <w:trHeight w:val="296"/>
        </w:trPr>
        <w:tc>
          <w:tcPr>
            <w:tcW w:w="2263" w:type="dxa"/>
            <w:noWrap/>
            <w:hideMark/>
          </w:tcPr>
          <w:p w14:paraId="667472F5" w14:textId="49792448" w:rsidR="0037603F" w:rsidRPr="00E41665" w:rsidRDefault="0037603F" w:rsidP="0037603F">
            <w:pPr>
              <w:rPr>
                <w:rFonts w:cs="Arial"/>
                <w:szCs w:val="28"/>
              </w:rPr>
            </w:pPr>
            <w:r w:rsidRPr="00D72BBE">
              <w:t>Yorkshire and The Humber</w:t>
            </w:r>
          </w:p>
        </w:tc>
        <w:tc>
          <w:tcPr>
            <w:tcW w:w="1560" w:type="dxa"/>
            <w:noWrap/>
            <w:hideMark/>
          </w:tcPr>
          <w:p w14:paraId="1C6B0D6D" w14:textId="4771B047" w:rsidR="0037603F" w:rsidRPr="00E41665" w:rsidRDefault="0037603F" w:rsidP="0037603F">
            <w:pPr>
              <w:jc w:val="center"/>
              <w:rPr>
                <w:rFonts w:cs="Arial"/>
                <w:szCs w:val="28"/>
              </w:rPr>
            </w:pPr>
            <w:r w:rsidRPr="00D72BBE">
              <w:t>15</w:t>
            </w:r>
          </w:p>
        </w:tc>
        <w:tc>
          <w:tcPr>
            <w:tcW w:w="2268" w:type="dxa"/>
            <w:noWrap/>
          </w:tcPr>
          <w:p w14:paraId="51EEE211" w14:textId="6F8470A0" w:rsidR="0037603F" w:rsidRPr="00E41665" w:rsidRDefault="0037603F" w:rsidP="0037603F">
            <w:pPr>
              <w:jc w:val="center"/>
              <w:rPr>
                <w:rFonts w:cs="Arial"/>
                <w:szCs w:val="28"/>
              </w:rPr>
            </w:pPr>
            <w:r w:rsidRPr="00D72BBE">
              <w:t>13</w:t>
            </w:r>
          </w:p>
        </w:tc>
        <w:tc>
          <w:tcPr>
            <w:tcW w:w="2925" w:type="dxa"/>
            <w:noWrap/>
            <w:hideMark/>
          </w:tcPr>
          <w:p w14:paraId="54638D5A" w14:textId="46E1AC5A" w:rsidR="0037603F" w:rsidRPr="00E41665" w:rsidRDefault="0037603F" w:rsidP="0037603F">
            <w:pPr>
              <w:jc w:val="center"/>
              <w:rPr>
                <w:rFonts w:cs="Arial"/>
                <w:szCs w:val="28"/>
              </w:rPr>
            </w:pPr>
            <w:r w:rsidRPr="00D72BBE">
              <w:t>38%</w:t>
            </w:r>
          </w:p>
        </w:tc>
      </w:tr>
      <w:tr w:rsidR="003455DE" w:rsidRPr="00E41665" w14:paraId="62A04ED3" w14:textId="77777777" w:rsidTr="003455DE">
        <w:trPr>
          <w:trHeight w:val="296"/>
        </w:trPr>
        <w:tc>
          <w:tcPr>
            <w:tcW w:w="2263" w:type="dxa"/>
            <w:noWrap/>
            <w:hideMark/>
          </w:tcPr>
          <w:p w14:paraId="367D9FC6" w14:textId="5A9DC6D8" w:rsidR="0037603F" w:rsidRPr="00E41665" w:rsidRDefault="0037603F" w:rsidP="0037603F">
            <w:pPr>
              <w:rPr>
                <w:rFonts w:cs="Arial"/>
                <w:szCs w:val="28"/>
              </w:rPr>
            </w:pPr>
            <w:r w:rsidRPr="00D72BBE">
              <w:t>West Midlands</w:t>
            </w:r>
          </w:p>
        </w:tc>
        <w:tc>
          <w:tcPr>
            <w:tcW w:w="1560" w:type="dxa"/>
            <w:noWrap/>
            <w:hideMark/>
          </w:tcPr>
          <w:p w14:paraId="0C672DA6" w14:textId="71E2379D" w:rsidR="0037603F" w:rsidRPr="00E41665" w:rsidRDefault="0037603F" w:rsidP="0037603F">
            <w:pPr>
              <w:jc w:val="center"/>
              <w:rPr>
                <w:rFonts w:cs="Arial"/>
                <w:szCs w:val="28"/>
              </w:rPr>
            </w:pPr>
            <w:r w:rsidRPr="00D72BBE">
              <w:t>14</w:t>
            </w:r>
          </w:p>
        </w:tc>
        <w:tc>
          <w:tcPr>
            <w:tcW w:w="2268" w:type="dxa"/>
            <w:noWrap/>
          </w:tcPr>
          <w:p w14:paraId="6D4EEE0D" w14:textId="0E7C7880" w:rsidR="0037603F" w:rsidRPr="00E41665" w:rsidRDefault="0037603F" w:rsidP="0037603F">
            <w:pPr>
              <w:jc w:val="center"/>
              <w:rPr>
                <w:rFonts w:cs="Arial"/>
                <w:szCs w:val="28"/>
              </w:rPr>
            </w:pPr>
            <w:r w:rsidRPr="00D72BBE">
              <w:t>11</w:t>
            </w:r>
          </w:p>
        </w:tc>
        <w:tc>
          <w:tcPr>
            <w:tcW w:w="2925" w:type="dxa"/>
            <w:noWrap/>
            <w:hideMark/>
          </w:tcPr>
          <w:p w14:paraId="080F6422" w14:textId="582780B8" w:rsidR="0037603F" w:rsidRPr="00E41665" w:rsidRDefault="0037603F" w:rsidP="0037603F">
            <w:pPr>
              <w:jc w:val="center"/>
              <w:rPr>
                <w:rFonts w:cs="Arial"/>
                <w:szCs w:val="28"/>
              </w:rPr>
            </w:pPr>
            <w:r w:rsidRPr="00D72BBE">
              <w:t>36%</w:t>
            </w:r>
          </w:p>
        </w:tc>
      </w:tr>
      <w:tr w:rsidR="003455DE" w:rsidRPr="00E41665" w14:paraId="617EF356" w14:textId="77777777" w:rsidTr="003455DE">
        <w:trPr>
          <w:trHeight w:val="296"/>
        </w:trPr>
        <w:tc>
          <w:tcPr>
            <w:tcW w:w="2263" w:type="dxa"/>
            <w:noWrap/>
            <w:hideMark/>
          </w:tcPr>
          <w:p w14:paraId="3AFCCD25" w14:textId="7E81F1D9" w:rsidR="0037603F" w:rsidRPr="00E41665" w:rsidRDefault="0037603F" w:rsidP="0037603F">
            <w:pPr>
              <w:rPr>
                <w:rFonts w:cs="Arial"/>
                <w:szCs w:val="28"/>
              </w:rPr>
            </w:pPr>
            <w:r w:rsidRPr="00D72BBE">
              <w:t>North East</w:t>
            </w:r>
          </w:p>
        </w:tc>
        <w:tc>
          <w:tcPr>
            <w:tcW w:w="1560" w:type="dxa"/>
            <w:noWrap/>
            <w:hideMark/>
          </w:tcPr>
          <w:p w14:paraId="0F56CBC7" w14:textId="5A281E52" w:rsidR="0037603F" w:rsidRPr="00E41665" w:rsidRDefault="0037603F" w:rsidP="0037603F">
            <w:pPr>
              <w:jc w:val="center"/>
              <w:rPr>
                <w:rFonts w:cs="Arial"/>
                <w:szCs w:val="28"/>
              </w:rPr>
            </w:pPr>
            <w:r w:rsidRPr="00D72BBE">
              <w:t>12</w:t>
            </w:r>
          </w:p>
        </w:tc>
        <w:tc>
          <w:tcPr>
            <w:tcW w:w="2268" w:type="dxa"/>
            <w:noWrap/>
          </w:tcPr>
          <w:p w14:paraId="0FD441C6" w14:textId="50201FCE" w:rsidR="0037603F" w:rsidRPr="00E41665" w:rsidRDefault="0037603F" w:rsidP="0037603F">
            <w:pPr>
              <w:jc w:val="center"/>
              <w:rPr>
                <w:rFonts w:cs="Arial"/>
                <w:szCs w:val="28"/>
              </w:rPr>
            </w:pPr>
            <w:r w:rsidRPr="00D72BBE">
              <w:t>6</w:t>
            </w:r>
          </w:p>
        </w:tc>
        <w:tc>
          <w:tcPr>
            <w:tcW w:w="2925" w:type="dxa"/>
            <w:noWrap/>
            <w:hideMark/>
          </w:tcPr>
          <w:p w14:paraId="5CEC1069" w14:textId="7B7110E0" w:rsidR="0037603F" w:rsidRPr="00E41665" w:rsidRDefault="0037603F" w:rsidP="0037603F">
            <w:pPr>
              <w:jc w:val="center"/>
              <w:rPr>
                <w:rFonts w:cs="Arial"/>
                <w:szCs w:val="28"/>
              </w:rPr>
            </w:pPr>
            <w:r w:rsidRPr="00D72BBE">
              <w:t>33%</w:t>
            </w:r>
          </w:p>
        </w:tc>
      </w:tr>
      <w:tr w:rsidR="003455DE" w:rsidRPr="00E41665" w14:paraId="3C77EDDA" w14:textId="77777777" w:rsidTr="003455DE">
        <w:trPr>
          <w:trHeight w:val="296"/>
        </w:trPr>
        <w:tc>
          <w:tcPr>
            <w:tcW w:w="2263" w:type="dxa"/>
            <w:noWrap/>
            <w:hideMark/>
          </w:tcPr>
          <w:p w14:paraId="5E4A0FC5" w14:textId="3BA168EC" w:rsidR="0037603F" w:rsidRPr="00E41665" w:rsidRDefault="0037603F" w:rsidP="0037603F">
            <w:pPr>
              <w:rPr>
                <w:rFonts w:cs="Arial"/>
                <w:szCs w:val="28"/>
              </w:rPr>
            </w:pPr>
            <w:r w:rsidRPr="00D72BBE">
              <w:t>East of England</w:t>
            </w:r>
          </w:p>
        </w:tc>
        <w:tc>
          <w:tcPr>
            <w:tcW w:w="1560" w:type="dxa"/>
            <w:noWrap/>
            <w:hideMark/>
          </w:tcPr>
          <w:p w14:paraId="5A4BD720" w14:textId="3A42EFD7" w:rsidR="0037603F" w:rsidRPr="00E41665" w:rsidRDefault="0037603F" w:rsidP="0037603F">
            <w:pPr>
              <w:jc w:val="center"/>
              <w:rPr>
                <w:rFonts w:cs="Arial"/>
                <w:szCs w:val="28"/>
              </w:rPr>
            </w:pPr>
            <w:r w:rsidRPr="00D72BBE">
              <w:t>11</w:t>
            </w:r>
          </w:p>
        </w:tc>
        <w:tc>
          <w:tcPr>
            <w:tcW w:w="2268" w:type="dxa"/>
            <w:noWrap/>
          </w:tcPr>
          <w:p w14:paraId="2A88C94F" w14:textId="34F7D73C" w:rsidR="0037603F" w:rsidRPr="00E41665" w:rsidRDefault="0037603F" w:rsidP="0037603F">
            <w:pPr>
              <w:jc w:val="center"/>
              <w:rPr>
                <w:rFonts w:cs="Arial"/>
                <w:szCs w:val="28"/>
              </w:rPr>
            </w:pPr>
            <w:r w:rsidRPr="00D72BBE">
              <w:t>8</w:t>
            </w:r>
          </w:p>
        </w:tc>
        <w:tc>
          <w:tcPr>
            <w:tcW w:w="2925" w:type="dxa"/>
            <w:noWrap/>
            <w:hideMark/>
          </w:tcPr>
          <w:p w14:paraId="5C9F97A4" w14:textId="2308E141" w:rsidR="0037603F" w:rsidRPr="00E41665" w:rsidRDefault="0037603F" w:rsidP="0037603F">
            <w:pPr>
              <w:jc w:val="center"/>
              <w:rPr>
                <w:rFonts w:cs="Arial"/>
                <w:szCs w:val="28"/>
              </w:rPr>
            </w:pPr>
            <w:r w:rsidRPr="00D72BBE">
              <w:t>25%</w:t>
            </w:r>
          </w:p>
        </w:tc>
      </w:tr>
      <w:tr w:rsidR="003455DE" w:rsidRPr="00E41665" w14:paraId="5AA4BCC4" w14:textId="77777777" w:rsidTr="003455DE">
        <w:trPr>
          <w:trHeight w:val="296"/>
        </w:trPr>
        <w:tc>
          <w:tcPr>
            <w:tcW w:w="2263" w:type="dxa"/>
            <w:noWrap/>
            <w:hideMark/>
          </w:tcPr>
          <w:p w14:paraId="5FEC968A" w14:textId="26B646E4" w:rsidR="0037603F" w:rsidRPr="00E41665" w:rsidRDefault="0037603F" w:rsidP="0037603F">
            <w:r w:rsidRPr="00D72BBE">
              <w:t>South West</w:t>
            </w:r>
          </w:p>
        </w:tc>
        <w:tc>
          <w:tcPr>
            <w:tcW w:w="1560" w:type="dxa"/>
            <w:noWrap/>
            <w:hideMark/>
          </w:tcPr>
          <w:p w14:paraId="12581DE1" w14:textId="39CA6F39" w:rsidR="0037603F" w:rsidRPr="00E41665" w:rsidRDefault="0037603F" w:rsidP="0037603F">
            <w:pPr>
              <w:jc w:val="center"/>
            </w:pPr>
            <w:r w:rsidRPr="00D72BBE">
              <w:t>16</w:t>
            </w:r>
          </w:p>
        </w:tc>
        <w:tc>
          <w:tcPr>
            <w:tcW w:w="2268" w:type="dxa"/>
            <w:noWrap/>
            <w:hideMark/>
          </w:tcPr>
          <w:p w14:paraId="597EE9DF" w14:textId="2619A1BE" w:rsidR="0037603F" w:rsidRPr="00E41665" w:rsidRDefault="0037603F" w:rsidP="0037603F">
            <w:pPr>
              <w:jc w:val="center"/>
            </w:pPr>
            <w:r w:rsidRPr="00D72BBE">
              <w:t>5</w:t>
            </w:r>
          </w:p>
        </w:tc>
        <w:tc>
          <w:tcPr>
            <w:tcW w:w="2925" w:type="dxa"/>
            <w:noWrap/>
            <w:hideMark/>
          </w:tcPr>
          <w:p w14:paraId="74DF057F" w14:textId="405ECD2A" w:rsidR="0037603F" w:rsidRPr="00E41665" w:rsidRDefault="0037603F" w:rsidP="0037603F">
            <w:pPr>
              <w:jc w:val="center"/>
            </w:pPr>
            <w:r w:rsidRPr="00D72BBE">
              <w:t>20%</w:t>
            </w:r>
          </w:p>
        </w:tc>
      </w:tr>
    </w:tbl>
    <w:p w14:paraId="66F17763" w14:textId="587DED46" w:rsidR="003455DE" w:rsidRDefault="003455DE" w:rsidP="00E54A13"/>
    <w:p w14:paraId="72048E3D" w14:textId="77777777" w:rsidR="003455DE" w:rsidRPr="00E41665" w:rsidRDefault="003455DE" w:rsidP="00E54A13"/>
    <w:p w14:paraId="2BD93F11" w14:textId="77777777" w:rsidR="00DF5075" w:rsidRPr="00E41665" w:rsidRDefault="00DF5075" w:rsidP="00E54A13"/>
    <w:p w14:paraId="6E554C94" w14:textId="2E0A144B" w:rsidR="00E54A13" w:rsidRPr="00E41665" w:rsidRDefault="00E54A13">
      <w:pPr>
        <w:pStyle w:val="Heading2"/>
        <w:ind w:left="851" w:hanging="851"/>
        <w:rPr>
          <w:lang w:eastAsia="en-GB"/>
        </w:rPr>
      </w:pPr>
      <w:bookmarkStart w:id="100" w:name="_Toc124761083"/>
      <w:bookmarkStart w:id="101" w:name="_Toc125543654"/>
      <w:bookmarkStart w:id="102" w:name="_Toc129775439"/>
      <w:r w:rsidRPr="00E41665">
        <w:rPr>
          <w:lang w:eastAsia="en-GB"/>
        </w:rPr>
        <w:t>Children and young people supported by the service</w:t>
      </w:r>
      <w:bookmarkEnd w:id="100"/>
      <w:bookmarkEnd w:id="101"/>
      <w:bookmarkEnd w:id="102"/>
    </w:p>
    <w:p w14:paraId="754756F6" w14:textId="77777777" w:rsidR="00E54A13" w:rsidRPr="003455DE" w:rsidRDefault="00E54A13">
      <w:pPr>
        <w:pStyle w:val="Heading3"/>
        <w:spacing w:before="240"/>
        <w:ind w:left="851" w:hanging="851"/>
        <w:rPr>
          <w:sz w:val="32"/>
          <w:szCs w:val="32"/>
        </w:rPr>
      </w:pPr>
      <w:bookmarkStart w:id="103" w:name="_Toc129775440"/>
      <w:r w:rsidRPr="003455DE">
        <w:rPr>
          <w:sz w:val="32"/>
          <w:szCs w:val="32"/>
        </w:rPr>
        <w:t>Caseload</w:t>
      </w:r>
      <w:bookmarkEnd w:id="103"/>
    </w:p>
    <w:p w14:paraId="72734E85" w14:textId="77777777" w:rsidR="00C7212C" w:rsidRDefault="00E54A13" w:rsidP="00E54A13">
      <w:r w:rsidRPr="00E41665">
        <w:t xml:space="preserve">The total number of children and young people aged 0-25 on vision impairment service caseloads, or known to services, is </w:t>
      </w:r>
      <w:r w:rsidR="00E94F41" w:rsidRPr="00E94F41">
        <w:t>30,453</w:t>
      </w:r>
      <w:r w:rsidR="00440F19">
        <w:t xml:space="preserve">. This </w:t>
      </w:r>
      <w:r w:rsidR="00440F19" w:rsidRPr="00440F19">
        <w:t>represents a</w:t>
      </w:r>
      <w:r w:rsidR="00440F19">
        <w:t xml:space="preserve"> 5</w:t>
      </w:r>
      <w:r w:rsidR="00440F19" w:rsidRPr="00440F19">
        <w:t xml:space="preserve"> per cent increase since 201</w:t>
      </w:r>
      <w:r w:rsidR="00BB326A">
        <w:t xml:space="preserve">7, with </w:t>
      </w:r>
      <w:r w:rsidR="00A8756B" w:rsidRPr="00A8756B">
        <w:t>1,496</w:t>
      </w:r>
      <w:r w:rsidR="004E68BE">
        <w:t xml:space="preserve"> </w:t>
      </w:r>
      <w:r w:rsidR="007A4E0E">
        <w:t>more children and young people compared to</w:t>
      </w:r>
      <w:r w:rsidR="000B312B">
        <w:t xml:space="preserve"> five years</w:t>
      </w:r>
      <w:r w:rsidR="007B4539">
        <w:t xml:space="preserve"> ago</w:t>
      </w:r>
      <w:r w:rsidR="004E68BE">
        <w:t xml:space="preserve">. </w:t>
      </w:r>
      <w:r w:rsidR="008B5E54">
        <w:t>However, t</w:t>
      </w:r>
      <w:r w:rsidRPr="00E41665">
        <w:t xml:space="preserve">he true figure is likely to be higher as </w:t>
      </w:r>
      <w:r w:rsidR="00BB495D" w:rsidRPr="00E41665">
        <w:t>20</w:t>
      </w:r>
      <w:r w:rsidRPr="00E41665">
        <w:t xml:space="preserve"> authorities</w:t>
      </w:r>
      <w:r w:rsidR="00A54C9D" w:rsidRPr="00E41665">
        <w:t xml:space="preserve"> either</w:t>
      </w:r>
      <w:r w:rsidRPr="00E41665">
        <w:t xml:space="preserve"> did not </w:t>
      </w:r>
      <w:r w:rsidR="008F4D15" w:rsidRPr="00E41665">
        <w:t>r</w:t>
      </w:r>
      <w:r w:rsidR="008F4D15">
        <w:t>espond</w:t>
      </w:r>
      <w:r w:rsidR="000A694C">
        <w:t xml:space="preserve"> or fa</w:t>
      </w:r>
      <w:r w:rsidR="008F4D15">
        <w:t>i</w:t>
      </w:r>
      <w:r w:rsidR="000A694C">
        <w:t>led to p</w:t>
      </w:r>
      <w:r w:rsidRPr="00E41665">
        <w:t xml:space="preserve">rovide a </w:t>
      </w:r>
      <w:r w:rsidR="008F4D15">
        <w:t>figure</w:t>
      </w:r>
      <w:r w:rsidR="006E1C32" w:rsidRPr="00E41665">
        <w:t xml:space="preserve"> due to data protection</w:t>
      </w:r>
      <w:r w:rsidR="004B1739">
        <w:t xml:space="preserve"> in 2022</w:t>
      </w:r>
      <w:r w:rsidR="006E1C32" w:rsidRPr="00E41665">
        <w:t xml:space="preserve">. </w:t>
      </w:r>
    </w:p>
    <w:p w14:paraId="045F03F9" w14:textId="77777777" w:rsidR="00C7212C" w:rsidRDefault="00C7212C" w:rsidP="00E54A13"/>
    <w:p w14:paraId="01E150DD" w14:textId="4C9828B8" w:rsidR="00E97DA1" w:rsidRDefault="00E54A13" w:rsidP="00E54A13">
      <w:r w:rsidRPr="00E41665">
        <w:t>25,</w:t>
      </w:r>
      <w:r w:rsidR="7CFACC7A">
        <w:t>836</w:t>
      </w:r>
      <w:r w:rsidR="001416AC">
        <w:t xml:space="preserve"> </w:t>
      </w:r>
      <w:r>
        <w:t>CYP</w:t>
      </w:r>
      <w:r w:rsidRPr="00E41665">
        <w:t xml:space="preserve"> were recorded on active service caseloads with a further </w:t>
      </w:r>
      <w:r w:rsidR="4694ACE2">
        <w:t>4,617</w:t>
      </w:r>
      <w:r w:rsidRPr="00E41665">
        <w:t xml:space="preserve"> CYP known to services. The split in caseload and CYP known to the service across different support levels</w:t>
      </w:r>
      <w:r w:rsidRPr="00E41665">
        <w:rPr>
          <w:color w:val="FF0000"/>
        </w:rPr>
        <w:t xml:space="preserve"> </w:t>
      </w:r>
      <w:r w:rsidRPr="00E41665">
        <w:t>is detailed in table</w:t>
      </w:r>
      <w:r w:rsidR="00B27B91">
        <w:t xml:space="preserve"> </w:t>
      </w:r>
      <w:r w:rsidR="00C7212C">
        <w:t>2</w:t>
      </w:r>
      <w:r w:rsidRPr="00E41665">
        <w:t xml:space="preserve"> below. </w:t>
      </w:r>
    </w:p>
    <w:p w14:paraId="6262F486" w14:textId="77777777" w:rsidR="00B87E1C" w:rsidRPr="00E41665" w:rsidRDefault="00B87E1C" w:rsidP="00E54A13"/>
    <w:p w14:paraId="2C41AC59" w14:textId="19CAC478" w:rsidR="00E54A13" w:rsidRPr="003455DE" w:rsidRDefault="00E54A13" w:rsidP="00C7212C">
      <w:pPr>
        <w:rPr>
          <w:bCs/>
        </w:rPr>
      </w:pPr>
      <w:r w:rsidRPr="003455DE">
        <w:rPr>
          <w:bCs/>
        </w:rPr>
        <w:t>Table</w:t>
      </w:r>
      <w:r w:rsidR="003455DE" w:rsidRPr="003455DE">
        <w:rPr>
          <w:bCs/>
        </w:rPr>
        <w:t xml:space="preserve"> 2</w:t>
      </w:r>
      <w:r w:rsidRPr="003455DE">
        <w:rPr>
          <w:bCs/>
        </w:rPr>
        <w:t>: Proportion on active caseload by group</w:t>
      </w:r>
    </w:p>
    <w:tbl>
      <w:tblPr>
        <w:tblStyle w:val="TableGrid"/>
        <w:tblW w:w="8217" w:type="dxa"/>
        <w:tblLook w:val="04A0" w:firstRow="1" w:lastRow="0" w:firstColumn="1" w:lastColumn="0" w:noHBand="0" w:noVBand="1"/>
      </w:tblPr>
      <w:tblGrid>
        <w:gridCol w:w="5382"/>
        <w:gridCol w:w="2835"/>
      </w:tblGrid>
      <w:tr w:rsidR="00E54A13" w:rsidRPr="00CA59E8" w14:paraId="6371C466" w14:textId="77777777" w:rsidTr="00B87E1C">
        <w:trPr>
          <w:trHeight w:val="290"/>
        </w:trPr>
        <w:tc>
          <w:tcPr>
            <w:tcW w:w="5382" w:type="dxa"/>
            <w:noWrap/>
            <w:vAlign w:val="center"/>
            <w:hideMark/>
          </w:tcPr>
          <w:p w14:paraId="6E7D8C06" w14:textId="77777777" w:rsidR="00E54A13" w:rsidRPr="00CA59E8" w:rsidRDefault="00E54A13" w:rsidP="00EF2AAC">
            <w:r w:rsidRPr="00CA59E8">
              <w:t>Support level</w:t>
            </w:r>
          </w:p>
        </w:tc>
        <w:tc>
          <w:tcPr>
            <w:tcW w:w="2835" w:type="dxa"/>
            <w:noWrap/>
            <w:hideMark/>
          </w:tcPr>
          <w:p w14:paraId="6171BD23" w14:textId="77777777" w:rsidR="00E54A13" w:rsidRPr="00CA59E8" w:rsidRDefault="00E54A13" w:rsidP="00DE183A">
            <w:r w:rsidRPr="00CA59E8">
              <w:t>Proportion on active caseload</w:t>
            </w:r>
          </w:p>
        </w:tc>
      </w:tr>
      <w:tr w:rsidR="00E54A13" w:rsidRPr="00E41665" w14:paraId="53FADB14" w14:textId="77777777" w:rsidTr="00B87E1C">
        <w:trPr>
          <w:trHeight w:val="290"/>
        </w:trPr>
        <w:tc>
          <w:tcPr>
            <w:tcW w:w="5382" w:type="dxa"/>
            <w:noWrap/>
            <w:hideMark/>
          </w:tcPr>
          <w:p w14:paraId="1E887159" w14:textId="77777777" w:rsidR="00E54A13" w:rsidRPr="00E41665" w:rsidRDefault="00E54A13" w:rsidP="00DE183A">
            <w:r w:rsidRPr="00E41665">
              <w:t xml:space="preserve">Education, </w:t>
            </w:r>
            <w:proofErr w:type="gramStart"/>
            <w:r w:rsidRPr="00E41665">
              <w:t>Health</w:t>
            </w:r>
            <w:proofErr w:type="gramEnd"/>
            <w:r w:rsidRPr="00E41665">
              <w:t xml:space="preserve"> and Care Plan (EHCP)</w:t>
            </w:r>
          </w:p>
        </w:tc>
        <w:tc>
          <w:tcPr>
            <w:tcW w:w="2835" w:type="dxa"/>
            <w:noWrap/>
            <w:hideMark/>
          </w:tcPr>
          <w:p w14:paraId="73711335" w14:textId="037E56FD" w:rsidR="00E54A13" w:rsidRPr="00E41665" w:rsidRDefault="096E7B14" w:rsidP="00DE183A">
            <w:pPr>
              <w:jc w:val="center"/>
            </w:pPr>
            <w:r>
              <w:t>49</w:t>
            </w:r>
            <w:r w:rsidR="00E54A13" w:rsidRPr="00E41665">
              <w:t>%</w:t>
            </w:r>
          </w:p>
        </w:tc>
      </w:tr>
      <w:tr w:rsidR="00E54A13" w:rsidRPr="00E41665" w14:paraId="2799A8C4" w14:textId="77777777" w:rsidTr="00B87E1C">
        <w:trPr>
          <w:trHeight w:val="290"/>
        </w:trPr>
        <w:tc>
          <w:tcPr>
            <w:tcW w:w="5382" w:type="dxa"/>
            <w:noWrap/>
            <w:hideMark/>
          </w:tcPr>
          <w:p w14:paraId="59B36DCC" w14:textId="77777777" w:rsidR="00E54A13" w:rsidRPr="00E41665" w:rsidRDefault="00E54A13" w:rsidP="00DE183A">
            <w:r w:rsidRPr="00E41665">
              <w:t>Special Education Need (SEN) Support</w:t>
            </w:r>
          </w:p>
        </w:tc>
        <w:tc>
          <w:tcPr>
            <w:tcW w:w="2835" w:type="dxa"/>
            <w:noWrap/>
            <w:hideMark/>
          </w:tcPr>
          <w:p w14:paraId="53881BA7" w14:textId="20DBCCA1" w:rsidR="00E54A13" w:rsidRPr="00E41665" w:rsidRDefault="00E54A13" w:rsidP="00DE183A">
            <w:pPr>
              <w:jc w:val="center"/>
            </w:pPr>
            <w:r>
              <w:t>4</w:t>
            </w:r>
            <w:r w:rsidR="19D4F9F3">
              <w:t>0</w:t>
            </w:r>
            <w:r w:rsidRPr="00E41665">
              <w:t>%</w:t>
            </w:r>
          </w:p>
        </w:tc>
      </w:tr>
      <w:tr w:rsidR="00E54A13" w:rsidRPr="00E41665" w14:paraId="449D06E4" w14:textId="77777777" w:rsidTr="00B87E1C">
        <w:trPr>
          <w:trHeight w:val="290"/>
        </w:trPr>
        <w:tc>
          <w:tcPr>
            <w:tcW w:w="5382" w:type="dxa"/>
            <w:noWrap/>
            <w:hideMark/>
          </w:tcPr>
          <w:p w14:paraId="4CEC2B8A" w14:textId="77777777" w:rsidR="00E54A13" w:rsidRPr="00E41665" w:rsidRDefault="00E54A13" w:rsidP="00DE183A">
            <w:r w:rsidRPr="00E41665">
              <w:t>Not yet assessed</w:t>
            </w:r>
          </w:p>
        </w:tc>
        <w:tc>
          <w:tcPr>
            <w:tcW w:w="2835" w:type="dxa"/>
            <w:noWrap/>
            <w:hideMark/>
          </w:tcPr>
          <w:p w14:paraId="1B4F19C9" w14:textId="673E14D0" w:rsidR="00E54A13" w:rsidRPr="00E41665" w:rsidRDefault="00DE3EDF" w:rsidP="00DE183A">
            <w:pPr>
              <w:jc w:val="center"/>
            </w:pPr>
            <w:r w:rsidRPr="00E41665">
              <w:t>6</w:t>
            </w:r>
            <w:r w:rsidR="00E54A13" w:rsidRPr="00E41665">
              <w:t>%</w:t>
            </w:r>
          </w:p>
        </w:tc>
      </w:tr>
      <w:tr w:rsidR="00E54A13" w:rsidRPr="00E41665" w14:paraId="69AD3E0A" w14:textId="77777777" w:rsidTr="00B87E1C">
        <w:trPr>
          <w:trHeight w:val="290"/>
        </w:trPr>
        <w:tc>
          <w:tcPr>
            <w:tcW w:w="5382" w:type="dxa"/>
            <w:noWrap/>
            <w:hideMark/>
          </w:tcPr>
          <w:p w14:paraId="571E2E9F" w14:textId="77777777" w:rsidR="00E54A13" w:rsidRPr="00E41665" w:rsidRDefault="00E54A13" w:rsidP="00DE183A">
            <w:r w:rsidRPr="00E41665">
              <w:t>Other</w:t>
            </w:r>
          </w:p>
        </w:tc>
        <w:tc>
          <w:tcPr>
            <w:tcW w:w="2835" w:type="dxa"/>
            <w:noWrap/>
            <w:hideMark/>
          </w:tcPr>
          <w:p w14:paraId="3BEF62C7" w14:textId="77777777" w:rsidR="00E54A13" w:rsidRPr="00E41665" w:rsidRDefault="00E54A13" w:rsidP="00DE183A">
            <w:pPr>
              <w:jc w:val="center"/>
            </w:pPr>
            <w:r w:rsidRPr="00E41665">
              <w:t>3%</w:t>
            </w:r>
          </w:p>
        </w:tc>
      </w:tr>
    </w:tbl>
    <w:p w14:paraId="3631E5FE" w14:textId="56C86FBE" w:rsidR="00E54A13" w:rsidRDefault="00E54A13" w:rsidP="00E54A13"/>
    <w:p w14:paraId="6273B85E" w14:textId="77777777" w:rsidR="00EF2AAC" w:rsidRPr="00E41665" w:rsidRDefault="00EF2AAC" w:rsidP="00E54A13"/>
    <w:p w14:paraId="33510B61" w14:textId="77777777" w:rsidR="00E54A13" w:rsidRPr="00EF2AAC" w:rsidRDefault="00E54A13">
      <w:pPr>
        <w:pStyle w:val="Heading3"/>
        <w:ind w:left="993" w:hanging="993"/>
        <w:rPr>
          <w:sz w:val="32"/>
          <w:szCs w:val="32"/>
        </w:rPr>
      </w:pPr>
      <w:bookmarkStart w:id="104" w:name="_Toc129775441"/>
      <w:r w:rsidRPr="00EF2AAC">
        <w:rPr>
          <w:sz w:val="32"/>
          <w:szCs w:val="32"/>
        </w:rPr>
        <w:lastRenderedPageBreak/>
        <w:t>Braille users</w:t>
      </w:r>
      <w:bookmarkEnd w:id="104"/>
    </w:p>
    <w:p w14:paraId="472E545E" w14:textId="35196825" w:rsidR="00E54A13" w:rsidRPr="00E41665" w:rsidRDefault="00E54A13" w:rsidP="00E54A13">
      <w:r>
        <w:t>The total number of CYP supported across the 1</w:t>
      </w:r>
      <w:r w:rsidR="2B6EF457">
        <w:t>3</w:t>
      </w:r>
      <w:r w:rsidR="636B252F">
        <w:t>7</w:t>
      </w:r>
      <w:r>
        <w:t xml:space="preserve"> local authorities that use braille as their sole or main literacy medium is </w:t>
      </w:r>
      <w:r w:rsidR="422AF24D">
        <w:t xml:space="preserve">652. </w:t>
      </w:r>
      <w:r>
        <w:t>It</w:t>
      </w:r>
      <w:r w:rsidR="001416AC">
        <w:t xml:space="preserve"> i</w:t>
      </w:r>
      <w:r>
        <w:t>s important to note that this question only asked about their main/sole medium</w:t>
      </w:r>
      <w:r w:rsidR="746B3EF2">
        <w:t xml:space="preserve">; </w:t>
      </w:r>
      <w:r>
        <w:t>if we were to consider dual med</w:t>
      </w:r>
      <w:r w:rsidR="5179F31E">
        <w:t>i</w:t>
      </w:r>
      <w:r w:rsidR="4879D8A7">
        <w:t>a</w:t>
      </w:r>
      <w:r>
        <w:t xml:space="preserve"> users then this number </w:t>
      </w:r>
      <w:r w:rsidR="0A962752">
        <w:t xml:space="preserve">would </w:t>
      </w:r>
      <w:r>
        <w:t>likely be</w:t>
      </w:r>
      <w:r w:rsidR="4879D8A7">
        <w:t xml:space="preserve"> much</w:t>
      </w:r>
      <w:r>
        <w:t xml:space="preserve"> higher. It is also difficult to get a true picture of the number due to the low number of authorities providing figures</w:t>
      </w:r>
      <w:r w:rsidR="100E80A7">
        <w:t xml:space="preserve">: </w:t>
      </w:r>
      <w:r>
        <w:t xml:space="preserve">particularly where LAs have answered ‘less than </w:t>
      </w:r>
      <w:r w:rsidR="0B801BBE">
        <w:t>five</w:t>
      </w:r>
      <w:r>
        <w:t xml:space="preserve">’ or ‘less than 10’, these have not been included in the counts. </w:t>
      </w:r>
    </w:p>
    <w:p w14:paraId="5767629A" w14:textId="77777777" w:rsidR="00E54A13" w:rsidRPr="00E41665" w:rsidRDefault="00E54A13" w:rsidP="00E54A13"/>
    <w:p w14:paraId="585ED217" w14:textId="68081BD7" w:rsidR="00C5444C" w:rsidRDefault="00565037" w:rsidP="00E54A13">
      <w:r>
        <w:t xml:space="preserve">If </w:t>
      </w:r>
      <w:r w:rsidR="00E54A13" w:rsidRPr="00E41665">
        <w:t xml:space="preserve">we look at a wider </w:t>
      </w:r>
      <w:r w:rsidR="00FD5ECD">
        <w:t>five</w:t>
      </w:r>
      <w:r w:rsidR="00E54A13" w:rsidRPr="00E41665">
        <w:t xml:space="preserve">-year trend, figures indicate a </w:t>
      </w:r>
      <w:r w:rsidR="00FD5ECD">
        <w:t xml:space="preserve">six </w:t>
      </w:r>
      <w:r w:rsidR="00B50765">
        <w:t>per cent</w:t>
      </w:r>
      <w:r w:rsidR="00E54A13" w:rsidRPr="00E41665">
        <w:t xml:space="preserve"> increase in the number of CYP using braille as their sole medium across England</w:t>
      </w:r>
      <w:r w:rsidR="00EC33B1" w:rsidRPr="00E41665">
        <w:t>. In the context of stretched staffing resource</w:t>
      </w:r>
      <w:r w:rsidR="00BD36D1" w:rsidRPr="00E41665">
        <w:t>,</w:t>
      </w:r>
      <w:r w:rsidR="00EC33B1" w:rsidRPr="00E41665">
        <w:t xml:space="preserve"> this is significant </w:t>
      </w:r>
      <w:r w:rsidR="001B717E">
        <w:t xml:space="preserve">- </w:t>
      </w:r>
      <w:r w:rsidR="00EC33B1" w:rsidRPr="00E41665">
        <w:t xml:space="preserve">a </w:t>
      </w:r>
      <w:proofErr w:type="spellStart"/>
      <w:r w:rsidR="00EC33B1" w:rsidRPr="00E41665">
        <w:t>braillist</w:t>
      </w:r>
      <w:proofErr w:type="spellEnd"/>
      <w:r w:rsidR="00EC33B1" w:rsidRPr="00E41665">
        <w:t xml:space="preserve"> requires the highest amount of specialist support and training.  </w:t>
      </w:r>
    </w:p>
    <w:p w14:paraId="1A20EEA9" w14:textId="77777777" w:rsidR="003455DE" w:rsidRPr="00E41665" w:rsidRDefault="003455DE" w:rsidP="00E54A13"/>
    <w:p w14:paraId="6E6AACCE" w14:textId="77777777" w:rsidR="00C5444C" w:rsidRPr="00E41665" w:rsidRDefault="00C5444C" w:rsidP="00E54A13"/>
    <w:p w14:paraId="61A370E2" w14:textId="669ABB7E" w:rsidR="00E54A13" w:rsidRPr="003455DE" w:rsidRDefault="00034717">
      <w:pPr>
        <w:pStyle w:val="Heading3"/>
        <w:ind w:left="993" w:hanging="993"/>
        <w:rPr>
          <w:sz w:val="32"/>
          <w:szCs w:val="32"/>
        </w:rPr>
      </w:pPr>
      <w:bookmarkStart w:id="105" w:name="_Toc129775442"/>
      <w:r w:rsidRPr="003455DE">
        <w:rPr>
          <w:sz w:val="32"/>
          <w:szCs w:val="32"/>
        </w:rPr>
        <w:t>R</w:t>
      </w:r>
      <w:r w:rsidR="00A0633A" w:rsidRPr="003455DE">
        <w:rPr>
          <w:sz w:val="32"/>
          <w:szCs w:val="32"/>
        </w:rPr>
        <w:t>egister</w:t>
      </w:r>
      <w:r w:rsidRPr="003455DE">
        <w:rPr>
          <w:sz w:val="32"/>
          <w:szCs w:val="32"/>
        </w:rPr>
        <w:t xml:space="preserve"> of blind and partially sighted people</w:t>
      </w:r>
      <w:bookmarkEnd w:id="105"/>
    </w:p>
    <w:p w14:paraId="1DA71126" w14:textId="1A2FCA0C" w:rsidR="00A0633A" w:rsidRPr="00E41665" w:rsidRDefault="0008481C" w:rsidP="00A0633A">
      <w:r w:rsidRPr="0008481C">
        <w:t xml:space="preserve">Our FOI </w:t>
      </w:r>
      <w:r w:rsidR="00B44C5E">
        <w:t xml:space="preserve">request </w:t>
      </w:r>
      <w:r w:rsidRPr="0008481C">
        <w:t>also found that the responsibility for registration of a certificate of vision impairment (CVI) varies greatly across England. </w:t>
      </w:r>
      <w:r w:rsidR="00A0633A" w:rsidRPr="00E41665">
        <w:t xml:space="preserve">We asked local authorities which team was responsible for holding the register for children and young people who are sight impaired (SI) or severely sight impaired (SSI). </w:t>
      </w:r>
      <w:r w:rsidR="00EA65A7">
        <w:t>More than</w:t>
      </w:r>
      <w:r w:rsidR="00EA65A7" w:rsidRPr="00E41665">
        <w:t xml:space="preserve"> </w:t>
      </w:r>
      <w:r w:rsidR="00A0633A" w:rsidRPr="00E41665">
        <w:t>half (58</w:t>
      </w:r>
      <w:r w:rsidR="00EA65A7">
        <w:t xml:space="preserve"> per cent</w:t>
      </w:r>
      <w:r w:rsidR="00A0633A" w:rsidRPr="00E41665">
        <w:t xml:space="preserve">) of the responding LAs said it was held by the </w:t>
      </w:r>
      <w:r w:rsidR="00136602">
        <w:t>Social Care C</w:t>
      </w:r>
      <w:r w:rsidR="00A0633A" w:rsidRPr="00E41665">
        <w:t xml:space="preserve">hildren’s disability team. </w:t>
      </w:r>
      <w:r w:rsidR="00320439" w:rsidRPr="00E41665">
        <w:t>19</w:t>
      </w:r>
      <w:r w:rsidR="00EA65A7">
        <w:t xml:space="preserve"> per cent</w:t>
      </w:r>
      <w:r w:rsidR="00A0633A" w:rsidRPr="00E41665">
        <w:t xml:space="preserve"> said it was held by the education/SEND/sensory teams, 1</w:t>
      </w:r>
      <w:r w:rsidR="00320439" w:rsidRPr="00E41665">
        <w:t>1</w:t>
      </w:r>
      <w:r w:rsidR="00EA65A7">
        <w:t xml:space="preserve"> per cent</w:t>
      </w:r>
      <w:r w:rsidR="00A0633A" w:rsidRPr="00E41665">
        <w:t xml:space="preserve"> said it was held by </w:t>
      </w:r>
      <w:r w:rsidR="008B5A38" w:rsidRPr="00E41665">
        <w:t xml:space="preserve">a local society for blind people/sight loss or sensory society on </w:t>
      </w:r>
      <w:r w:rsidR="00A0633A" w:rsidRPr="00E41665">
        <w:t xml:space="preserve">behalf of the local authority. </w:t>
      </w:r>
    </w:p>
    <w:p w14:paraId="2D49A504" w14:textId="77777777" w:rsidR="00A0633A" w:rsidRPr="00E41665" w:rsidRDefault="00A0633A" w:rsidP="00A0633A"/>
    <w:p w14:paraId="62A7E3B2" w14:textId="7E4F194F" w:rsidR="00BC6FC2" w:rsidRDefault="00A0633A" w:rsidP="00BC6FC2">
      <w:r w:rsidRPr="00E41665">
        <w:t xml:space="preserve">There was an option to </w:t>
      </w:r>
      <w:r w:rsidR="003B5255">
        <w:t xml:space="preserve">provide more information </w:t>
      </w:r>
      <w:r w:rsidR="002E4A21">
        <w:t xml:space="preserve">and the most common </w:t>
      </w:r>
      <w:r w:rsidR="006E7576">
        <w:t xml:space="preserve">response </w:t>
      </w:r>
      <w:r w:rsidR="002E4A21">
        <w:t>was</w:t>
      </w:r>
      <w:r w:rsidRPr="00E41665">
        <w:t xml:space="preserve"> the Adult Sensory Team/ Adult Rehabilitation Team. </w:t>
      </w:r>
      <w:bookmarkStart w:id="106" w:name="_Hlk125382256"/>
      <w:r w:rsidR="003455DE">
        <w:t xml:space="preserve"> </w:t>
      </w:r>
      <w:r w:rsidR="00BC6FC2" w:rsidRPr="00E41665">
        <w:t>The findings highlight that CYP are under-represented on registers.</w:t>
      </w:r>
    </w:p>
    <w:p w14:paraId="3B8AECF3" w14:textId="77777777" w:rsidR="003455DE" w:rsidRPr="00E41665" w:rsidRDefault="003455DE" w:rsidP="00BC6FC2"/>
    <w:p w14:paraId="5DD71195" w14:textId="77777777" w:rsidR="00BC6FC2" w:rsidRPr="00E41665" w:rsidRDefault="00BC6FC2" w:rsidP="00BC6FC2">
      <w:r w:rsidRPr="00E41665">
        <w:t>There are 10,145 CYP aged 0 – 17 registered as blind or partially sighted in England (2020), representing just a third of the children and young people aged 0-25 on vision impairment service caseloads or known to services. We understand that definitions for registration may be narrower than definitions used for CYP to access support from the VI education services. This and differences in the age ranges between the two datasets may be responsible for some of the gap.</w:t>
      </w:r>
    </w:p>
    <w:bookmarkEnd w:id="106"/>
    <w:p w14:paraId="1ECA6CE1" w14:textId="77777777" w:rsidR="00BC6FC2" w:rsidRPr="00E41665" w:rsidRDefault="00BC6FC2" w:rsidP="00BC6FC2"/>
    <w:p w14:paraId="29614C73" w14:textId="675B3CD8" w:rsidR="00A0633A" w:rsidRPr="00E41665" w:rsidRDefault="00BC6FC2" w:rsidP="00E54A13">
      <w:r w:rsidRPr="00E41665">
        <w:t>Despite this, the existence and accuracy of children’s registers</w:t>
      </w:r>
      <w:r w:rsidR="00AD410E">
        <w:t xml:space="preserve"> for vision impairment</w:t>
      </w:r>
      <w:r w:rsidRPr="00E41665">
        <w:t xml:space="preserve"> remains a source of considerable concern</w:t>
      </w:r>
      <w:r w:rsidR="00F679FF">
        <w:t xml:space="preserve"> due to the</w:t>
      </w:r>
      <w:r w:rsidR="006C5B16">
        <w:t xml:space="preserve"> </w:t>
      </w:r>
      <w:r w:rsidR="004B1739">
        <w:t xml:space="preserve">inconsistent recording and </w:t>
      </w:r>
      <w:r w:rsidR="006C5B16">
        <w:t>lack of</w:t>
      </w:r>
      <w:r w:rsidRPr="00E41665">
        <w:t xml:space="preserve"> accurate data</w:t>
      </w:r>
      <w:r w:rsidR="004B1739">
        <w:t xml:space="preserve">. </w:t>
      </w:r>
      <w:r w:rsidRPr="00E41665">
        <w:t xml:space="preserve"> </w:t>
      </w:r>
    </w:p>
    <w:p w14:paraId="562E7880" w14:textId="77777777" w:rsidR="00E54A13" w:rsidRPr="003455DE" w:rsidRDefault="00E54A13">
      <w:pPr>
        <w:pStyle w:val="Heading3"/>
        <w:ind w:left="993" w:hanging="993"/>
        <w:rPr>
          <w:sz w:val="32"/>
          <w:szCs w:val="32"/>
        </w:rPr>
      </w:pPr>
      <w:bookmarkStart w:id="107" w:name="_Toc129775443"/>
      <w:r w:rsidRPr="003455DE">
        <w:rPr>
          <w:sz w:val="32"/>
          <w:szCs w:val="32"/>
        </w:rPr>
        <w:lastRenderedPageBreak/>
        <w:t>Criteria for support levels and eligibility for EHCP assessment</w:t>
      </w:r>
      <w:bookmarkEnd w:id="107"/>
    </w:p>
    <w:p w14:paraId="4FD19DA4" w14:textId="2E17E25C" w:rsidR="00E54A13" w:rsidRPr="00E41665" w:rsidRDefault="00E54A13" w:rsidP="00E54A13">
      <w:r>
        <w:t>When asked about the criteria used for allocating levels of support</w:t>
      </w:r>
      <w:r w:rsidR="3E1E8561">
        <w:t>,</w:t>
      </w:r>
      <w:r>
        <w:t xml:space="preserve"> local authorities were able to select multiple answers. Of 1</w:t>
      </w:r>
      <w:r w:rsidR="63FC99E2">
        <w:t>3</w:t>
      </w:r>
      <w:r w:rsidR="37C86487">
        <w:t xml:space="preserve">7 </w:t>
      </w:r>
      <w:r>
        <w:t xml:space="preserve">authorities, </w:t>
      </w:r>
      <w:r w:rsidR="3FCFACA3">
        <w:t>83</w:t>
      </w:r>
      <w:r w:rsidR="47095661">
        <w:t xml:space="preserve"> per cent</w:t>
      </w:r>
      <w:r>
        <w:t xml:space="preserve"> said the </w:t>
      </w:r>
      <w:proofErr w:type="spellStart"/>
      <w:r>
        <w:t>NatSIP</w:t>
      </w:r>
      <w:proofErr w:type="spellEnd"/>
      <w:r>
        <w:t xml:space="preserve"> Eligibility Framework was used, </w:t>
      </w:r>
      <w:r w:rsidR="0E425792">
        <w:t>1</w:t>
      </w:r>
      <w:r w:rsidR="54215FE6">
        <w:t>9</w:t>
      </w:r>
      <w:r w:rsidR="47095661">
        <w:t xml:space="preserve"> per cent</w:t>
      </w:r>
      <w:r>
        <w:t xml:space="preserve"> used </w:t>
      </w:r>
      <w:proofErr w:type="spellStart"/>
      <w:r>
        <w:t>NatSIP</w:t>
      </w:r>
      <w:proofErr w:type="spellEnd"/>
      <w:r>
        <w:t xml:space="preserve"> Learner Outcomes and 2</w:t>
      </w:r>
      <w:r w:rsidR="71B81712">
        <w:t>3</w:t>
      </w:r>
      <w:r w:rsidR="47095661">
        <w:t xml:space="preserve"> per cent</w:t>
      </w:r>
      <w:r>
        <w:t xml:space="preserve"> said they used criteria </w:t>
      </w:r>
      <w:r w:rsidR="7DF68761">
        <w:t xml:space="preserve">which </w:t>
      </w:r>
      <w:r w:rsidR="53194D46">
        <w:t xml:space="preserve">were </w:t>
      </w:r>
      <w:r>
        <w:t xml:space="preserve">locally developed. </w:t>
      </w:r>
    </w:p>
    <w:p w14:paraId="37997FEF" w14:textId="77777777" w:rsidR="00E54A13" w:rsidRPr="00E41665" w:rsidRDefault="00E54A13" w:rsidP="00E54A13"/>
    <w:p w14:paraId="16CDC81F" w14:textId="291DF71E" w:rsidR="00E54A13" w:rsidRPr="00E41665" w:rsidRDefault="00E54A13" w:rsidP="00E54A13">
      <w:r w:rsidRPr="00E41665">
        <w:t>A further 2</w:t>
      </w:r>
      <w:r w:rsidR="00711FF4" w:rsidRPr="00E41665">
        <w:t>0</w:t>
      </w:r>
      <w:r w:rsidR="007830CD">
        <w:t xml:space="preserve"> per cent</w:t>
      </w:r>
      <w:r w:rsidRPr="00E41665">
        <w:t xml:space="preserve"> (</w:t>
      </w:r>
      <w:r w:rsidR="00711FF4" w:rsidRPr="00E41665">
        <w:t>28</w:t>
      </w:r>
      <w:r w:rsidRPr="00E41665">
        <w:t>) of authorities said they made other arrangements. When asked to provide more information</w:t>
      </w:r>
      <w:r w:rsidR="00133481" w:rsidRPr="00E41665">
        <w:t xml:space="preserve">, </w:t>
      </w:r>
      <w:r w:rsidR="00402CC1" w:rsidRPr="00E41665">
        <w:t>16</w:t>
      </w:r>
      <w:r w:rsidRPr="00E41665">
        <w:t xml:space="preserve"> authorities (</w:t>
      </w:r>
      <w:r w:rsidR="004B552C" w:rsidRPr="00E41665">
        <w:t>57</w:t>
      </w:r>
      <w:r w:rsidR="007830CD">
        <w:t xml:space="preserve"> per cent</w:t>
      </w:r>
      <w:r w:rsidRPr="00E41665">
        <w:t xml:space="preserve">) indicated that elements of their framework were taken from the existing </w:t>
      </w:r>
      <w:proofErr w:type="spellStart"/>
      <w:r w:rsidRPr="00E41665">
        <w:t>NatSIP</w:t>
      </w:r>
      <w:proofErr w:type="spellEnd"/>
      <w:r w:rsidRPr="00E41665">
        <w:t xml:space="preserve"> </w:t>
      </w:r>
      <w:r w:rsidR="00C80BCB" w:rsidRPr="00E41665">
        <w:t xml:space="preserve">Eligibility </w:t>
      </w:r>
      <w:r w:rsidR="00833F82" w:rsidRPr="00E41665">
        <w:t>F</w:t>
      </w:r>
      <w:r w:rsidRPr="00E41665">
        <w:t xml:space="preserve">ramework. </w:t>
      </w:r>
      <w:r w:rsidR="006E7696" w:rsidRPr="00E41665">
        <w:t>A</w:t>
      </w:r>
      <w:r w:rsidRPr="00E41665">
        <w:t xml:space="preserve"> further half a dozen authorities </w:t>
      </w:r>
      <w:r w:rsidR="006E7696" w:rsidRPr="00E41665">
        <w:t xml:space="preserve">are </w:t>
      </w:r>
      <w:r w:rsidRPr="00E41665">
        <w:t>using ‘professional judgment’</w:t>
      </w:r>
      <w:r w:rsidR="006E7696" w:rsidRPr="00E41665">
        <w:t>;</w:t>
      </w:r>
      <w:r w:rsidRPr="00E41665">
        <w:t xml:space="preserve"> </w:t>
      </w:r>
      <w:r w:rsidR="00A64350" w:rsidRPr="00E41665">
        <w:t>however no further explanation was provided as to who was responsible for carrying out this assessment or what criteria it was based on</w:t>
      </w:r>
      <w:r w:rsidRPr="00E41665">
        <w:t xml:space="preserve">. Despite the majority of local authorities using the </w:t>
      </w:r>
      <w:proofErr w:type="spellStart"/>
      <w:r w:rsidRPr="00E41665">
        <w:t>NatSIP</w:t>
      </w:r>
      <w:proofErr w:type="spellEnd"/>
      <w:r w:rsidRPr="00E41665">
        <w:t xml:space="preserve"> </w:t>
      </w:r>
      <w:r w:rsidR="00DF7685" w:rsidRPr="00E41665">
        <w:t xml:space="preserve">Eligibility </w:t>
      </w:r>
      <w:r w:rsidRPr="00E41665">
        <w:t xml:space="preserve">framework, </w:t>
      </w:r>
      <w:r w:rsidR="0064747E">
        <w:t>ad</w:t>
      </w:r>
      <w:r w:rsidR="00C76F13">
        <w:t>j</w:t>
      </w:r>
      <w:r w:rsidR="00753258">
        <w:t xml:space="preserve">usting </w:t>
      </w:r>
      <w:r w:rsidR="0064747E">
        <w:t xml:space="preserve">to local criteria has resulted in a lack of </w:t>
      </w:r>
      <w:r w:rsidRPr="00E41665">
        <w:t>standardisation across the country.</w:t>
      </w:r>
    </w:p>
    <w:p w14:paraId="6F830DFF" w14:textId="77777777" w:rsidR="00E54A13" w:rsidRPr="00E41665" w:rsidRDefault="00E54A13" w:rsidP="00E54A13"/>
    <w:p w14:paraId="2D5C81D1" w14:textId="2BB20291" w:rsidR="007F79C9" w:rsidRDefault="00C25119" w:rsidP="00E54A13">
      <w:r w:rsidRPr="00E41665">
        <w:t>8</w:t>
      </w:r>
      <w:r w:rsidR="0012434B" w:rsidRPr="00E41665">
        <w:t>3</w:t>
      </w:r>
      <w:r w:rsidR="007830CD">
        <w:t xml:space="preserve"> per cent</w:t>
      </w:r>
      <w:r w:rsidRPr="00E41665">
        <w:t xml:space="preserve"> of </w:t>
      </w:r>
      <w:r w:rsidR="00567013" w:rsidRPr="00E41665">
        <w:t>responding local authoritie</w:t>
      </w:r>
      <w:r w:rsidR="00ED3D03" w:rsidRPr="00E41665">
        <w:t>s</w:t>
      </w:r>
      <w:r w:rsidR="007F79C9">
        <w:t xml:space="preserve"> are</w:t>
      </w:r>
      <w:r w:rsidR="00567013" w:rsidRPr="00E41665">
        <w:t xml:space="preserve"> </w:t>
      </w:r>
      <w:r w:rsidR="007F79C9" w:rsidRPr="007A3DB1">
        <w:t xml:space="preserve">meeting the statutory criteria by </w:t>
      </w:r>
      <w:r w:rsidR="0026434D" w:rsidRPr="007A3DB1">
        <w:t>conducting</w:t>
      </w:r>
      <w:r w:rsidR="007F79C9" w:rsidRPr="007A3DB1">
        <w:t xml:space="preserve"> EHCP assessments based on a child’s individual needs</w:t>
      </w:r>
      <w:r w:rsidR="007F79C9">
        <w:t xml:space="preserve">. </w:t>
      </w:r>
    </w:p>
    <w:p w14:paraId="49F82315" w14:textId="77777777" w:rsidR="001416AC" w:rsidRDefault="001416AC" w:rsidP="00E54A13"/>
    <w:p w14:paraId="11BCED72" w14:textId="35C46234" w:rsidR="00E54A13" w:rsidRPr="00E41665" w:rsidRDefault="006417D3" w:rsidP="00E54A13">
      <w:r>
        <w:t xml:space="preserve">Worryingly, </w:t>
      </w:r>
      <w:r w:rsidR="00E54A13" w:rsidRPr="00E41665">
        <w:t>2</w:t>
      </w:r>
      <w:r w:rsidR="00025FB6" w:rsidRPr="00E41665">
        <w:t>2</w:t>
      </w:r>
      <w:r w:rsidR="007830CD">
        <w:t xml:space="preserve"> per cent</w:t>
      </w:r>
      <w:r w:rsidR="00E54A13" w:rsidRPr="00E41665">
        <w:t xml:space="preserve"> </w:t>
      </w:r>
      <w:r w:rsidR="00ED3D03" w:rsidRPr="00E41665">
        <w:t xml:space="preserve">of authorities </w:t>
      </w:r>
      <w:r w:rsidR="00E54A13" w:rsidRPr="00E41665">
        <w:t xml:space="preserve">stated CYP must meet a specific level of severity/ visual acuity, </w:t>
      </w:r>
      <w:r w:rsidR="007830CD">
        <w:t>nine per cent</w:t>
      </w:r>
      <w:r w:rsidR="00E54A13" w:rsidRPr="00E41665">
        <w:t xml:space="preserve"> said </w:t>
      </w:r>
      <w:r w:rsidR="003278E0" w:rsidRPr="00E41665">
        <w:t xml:space="preserve">CYP </w:t>
      </w:r>
      <w:r w:rsidR="00E54A13" w:rsidRPr="00E41665">
        <w:t xml:space="preserve">must be failing to make the expected level of progress, </w:t>
      </w:r>
      <w:r w:rsidR="007830CD">
        <w:t>four per cent</w:t>
      </w:r>
      <w:r w:rsidR="00E54A13" w:rsidRPr="00E41665">
        <w:t xml:space="preserve"> said they are expected to attend a special school and a further </w:t>
      </w:r>
      <w:r w:rsidR="007830CD">
        <w:t>two per cent</w:t>
      </w:r>
      <w:r w:rsidR="00E54A13" w:rsidRPr="00E41665">
        <w:t xml:space="preserve"> said they must have additional SEND. </w:t>
      </w:r>
    </w:p>
    <w:p w14:paraId="17EDE0FE" w14:textId="77777777" w:rsidR="00E54A13" w:rsidRPr="00E41665" w:rsidRDefault="00E54A13" w:rsidP="00E54A13"/>
    <w:p w14:paraId="793F1359" w14:textId="2DAB16F9" w:rsidR="004158A6" w:rsidRPr="00E41665" w:rsidRDefault="008C5C29" w:rsidP="00E54A13">
      <w:r w:rsidRPr="00E41665">
        <w:t>We also provided an option for authorities to provide any extra information on assessment criteria</w:t>
      </w:r>
      <w:r w:rsidR="00455460" w:rsidRPr="00E41665">
        <w:t>, 2</w:t>
      </w:r>
      <w:r w:rsidR="00696FBD" w:rsidRPr="00E41665">
        <w:t>2</w:t>
      </w:r>
      <w:r w:rsidR="007830CD">
        <w:t xml:space="preserve"> per cent</w:t>
      </w:r>
      <w:r w:rsidR="009665AB" w:rsidRPr="00E41665">
        <w:t xml:space="preserve"> of authorities provided </w:t>
      </w:r>
      <w:r w:rsidR="00455460" w:rsidRPr="00E41665">
        <w:t xml:space="preserve">this </w:t>
      </w:r>
      <w:r w:rsidR="009665AB" w:rsidRPr="00E41665">
        <w:t>information</w:t>
      </w:r>
      <w:r w:rsidR="00455460" w:rsidRPr="00E41665">
        <w:t xml:space="preserve">. </w:t>
      </w:r>
      <w:r w:rsidR="001862A7">
        <w:t>The m</w:t>
      </w:r>
      <w:r w:rsidR="004A12C0" w:rsidRPr="00E41665">
        <w:t xml:space="preserve">ajority of the </w:t>
      </w:r>
      <w:r w:rsidR="00B470BF" w:rsidRPr="00E41665">
        <w:t>authorities</w:t>
      </w:r>
      <w:r w:rsidR="00F21035" w:rsidRPr="00E41665">
        <w:t xml:space="preserve"> that</w:t>
      </w:r>
      <w:r w:rsidR="00DB2453" w:rsidRPr="00E41665">
        <w:t xml:space="preserve"> responded</w:t>
      </w:r>
      <w:r w:rsidR="004A12C0" w:rsidRPr="00E41665">
        <w:t xml:space="preserve"> </w:t>
      </w:r>
      <w:r w:rsidR="009665AB" w:rsidRPr="00E41665">
        <w:t xml:space="preserve">stated that CYP must have a medical diagnosis, involvement of an ophthalmologist or </w:t>
      </w:r>
      <w:r w:rsidR="006749AA" w:rsidRPr="00E41665">
        <w:t xml:space="preserve">a </w:t>
      </w:r>
      <w:r w:rsidR="00234129">
        <w:t>C</w:t>
      </w:r>
      <w:r w:rsidR="00FA33E9">
        <w:t xml:space="preserve">ertificate of </w:t>
      </w:r>
      <w:r w:rsidR="00234129">
        <w:t>V</w:t>
      </w:r>
      <w:r w:rsidR="00FA33E9">
        <w:t xml:space="preserve">ision </w:t>
      </w:r>
      <w:r w:rsidR="00234129">
        <w:t>I</w:t>
      </w:r>
      <w:r w:rsidR="00FA33E9">
        <w:t>mpairment.</w:t>
      </w:r>
      <w:r w:rsidR="004A12C0" w:rsidRPr="00E41665">
        <w:t xml:space="preserve"> </w:t>
      </w:r>
    </w:p>
    <w:p w14:paraId="0334A39B" w14:textId="77777777" w:rsidR="004158A6" w:rsidRPr="00E41665" w:rsidRDefault="004158A6" w:rsidP="00E54A13"/>
    <w:p w14:paraId="112F4634" w14:textId="7CB00A72" w:rsidR="00E54A13" w:rsidRPr="00E41665" w:rsidRDefault="00523504" w:rsidP="00E54A13">
      <w:r w:rsidRPr="00523504">
        <w:t>The wide variation across authorities in criteria used to assess for an EHCP could lead to very different levels of support being provided to CYP with VI who have similar needs but live in different authorities.</w:t>
      </w:r>
    </w:p>
    <w:p w14:paraId="46386CD0" w14:textId="4D9E9990" w:rsidR="00DF5075" w:rsidRDefault="00DF5075" w:rsidP="00E54A13"/>
    <w:p w14:paraId="6028473E" w14:textId="77777777" w:rsidR="00A163A4" w:rsidRPr="00E41665" w:rsidRDefault="00A163A4" w:rsidP="00E54A13"/>
    <w:p w14:paraId="3EA66235" w14:textId="5928DE28" w:rsidR="00E54A13" w:rsidRPr="00E41665" w:rsidRDefault="00E54A13">
      <w:pPr>
        <w:pStyle w:val="Heading2"/>
        <w:ind w:left="851" w:hanging="851"/>
      </w:pPr>
      <w:bookmarkStart w:id="108" w:name="_Toc19300782"/>
      <w:bookmarkStart w:id="109" w:name="_Toc125543655"/>
      <w:bookmarkStart w:id="110" w:name="_Toc129775444"/>
      <w:r w:rsidRPr="00E41665">
        <w:lastRenderedPageBreak/>
        <w:t>Teachers and support staff</w:t>
      </w:r>
      <w:bookmarkEnd w:id="108"/>
      <w:bookmarkEnd w:id="109"/>
      <w:bookmarkEnd w:id="110"/>
    </w:p>
    <w:p w14:paraId="101255A9" w14:textId="77777777" w:rsidR="00E54A13" w:rsidRPr="003455DE" w:rsidRDefault="00E54A13">
      <w:pPr>
        <w:pStyle w:val="Heading3"/>
        <w:spacing w:before="240"/>
        <w:ind w:left="851" w:hanging="851"/>
        <w:rPr>
          <w:sz w:val="32"/>
          <w:szCs w:val="32"/>
        </w:rPr>
      </w:pPr>
      <w:bookmarkStart w:id="111" w:name="_Toc129775445"/>
      <w:r w:rsidRPr="003455DE">
        <w:rPr>
          <w:sz w:val="32"/>
          <w:szCs w:val="32"/>
        </w:rPr>
        <w:t>QTVI posts</w:t>
      </w:r>
      <w:bookmarkEnd w:id="111"/>
    </w:p>
    <w:p w14:paraId="2A6CF609" w14:textId="0FDF89B0" w:rsidR="00E54A13" w:rsidRPr="00E41665" w:rsidRDefault="00E54A13" w:rsidP="00E54A13">
      <w:pPr>
        <w:tabs>
          <w:tab w:val="left" w:pos="567"/>
        </w:tabs>
        <w:rPr>
          <w:lang w:eastAsia="en-GB"/>
        </w:rPr>
      </w:pPr>
      <w:r w:rsidRPr="0C6C5761">
        <w:rPr>
          <w:lang w:eastAsia="en-GB"/>
        </w:rPr>
        <w:t>There are a total of 5</w:t>
      </w:r>
      <w:r w:rsidR="749FBA4E" w:rsidRPr="0C6C5761">
        <w:rPr>
          <w:lang w:eastAsia="en-GB"/>
        </w:rPr>
        <w:t>84</w:t>
      </w:r>
      <w:r w:rsidRPr="0C6C5761">
        <w:rPr>
          <w:lang w:eastAsia="en-GB"/>
        </w:rPr>
        <w:t xml:space="preserve"> FTE posts for QTVIs across 1</w:t>
      </w:r>
      <w:r w:rsidR="5FD497A8" w:rsidRPr="0C6C5761">
        <w:rPr>
          <w:lang w:eastAsia="en-GB"/>
        </w:rPr>
        <w:t>3</w:t>
      </w:r>
      <w:r w:rsidR="7DE33A0A" w:rsidRPr="0C6C5761">
        <w:rPr>
          <w:lang w:eastAsia="en-GB"/>
        </w:rPr>
        <w:t>7</w:t>
      </w:r>
      <w:r w:rsidRPr="0C6C5761">
        <w:rPr>
          <w:lang w:eastAsia="en-GB"/>
        </w:rPr>
        <w:t xml:space="preserve"> local authorities</w:t>
      </w:r>
      <w:r w:rsidR="068961B2" w:rsidRPr="0C6C5761">
        <w:rPr>
          <w:lang w:eastAsia="en-GB"/>
        </w:rPr>
        <w:t xml:space="preserve">; </w:t>
      </w:r>
      <w:r w:rsidRPr="0C6C5761">
        <w:rPr>
          <w:lang w:eastAsia="en-GB"/>
        </w:rPr>
        <w:t xml:space="preserve">this figure is inclusive of those in training or due to begin training. There are also an additional 19 FTE QTVI vacancies currently </w:t>
      </w:r>
      <w:r w:rsidR="3C922FCF" w:rsidRPr="0C6C5761">
        <w:rPr>
          <w:lang w:eastAsia="en-GB"/>
        </w:rPr>
        <w:t>unfilled</w:t>
      </w:r>
      <w:r w:rsidRPr="0C6C5761">
        <w:rPr>
          <w:lang w:eastAsia="en-GB"/>
        </w:rPr>
        <w:t>.</w:t>
      </w:r>
    </w:p>
    <w:p w14:paraId="31276F3E" w14:textId="77777777" w:rsidR="00E54A13" w:rsidRPr="00E41665" w:rsidRDefault="00E54A13" w:rsidP="00E54A13">
      <w:pPr>
        <w:tabs>
          <w:tab w:val="left" w:pos="567"/>
        </w:tabs>
        <w:rPr>
          <w:lang w:eastAsia="en-GB"/>
        </w:rPr>
      </w:pPr>
    </w:p>
    <w:p w14:paraId="5F25FB3B" w14:textId="4F4E7B69" w:rsidR="00251D0E" w:rsidRDefault="00F82078" w:rsidP="00E54A13">
      <w:pPr>
        <w:tabs>
          <w:tab w:val="left" w:pos="567"/>
        </w:tabs>
        <w:rPr>
          <w:lang w:eastAsia="en-GB"/>
        </w:rPr>
      </w:pPr>
      <w:r>
        <w:rPr>
          <w:lang w:eastAsia="en-GB"/>
        </w:rPr>
        <w:t>Of those working as specialist VI teachers</w:t>
      </w:r>
      <w:r w:rsidR="00E7258D">
        <w:rPr>
          <w:lang w:eastAsia="en-GB"/>
        </w:rPr>
        <w:t xml:space="preserve">, </w:t>
      </w:r>
      <w:r w:rsidR="00E54A13" w:rsidRPr="00E41665">
        <w:rPr>
          <w:lang w:eastAsia="en-GB"/>
        </w:rPr>
        <w:t>7</w:t>
      </w:r>
      <w:r w:rsidR="003613AA" w:rsidRPr="00E41665">
        <w:rPr>
          <w:lang w:eastAsia="en-GB"/>
        </w:rPr>
        <w:t>8</w:t>
      </w:r>
      <w:r w:rsidR="007830CD">
        <w:rPr>
          <w:lang w:eastAsia="en-GB"/>
        </w:rPr>
        <w:t xml:space="preserve"> per cent</w:t>
      </w:r>
      <w:r w:rsidR="00E54A13" w:rsidRPr="00E41665">
        <w:rPr>
          <w:lang w:eastAsia="en-GB"/>
        </w:rPr>
        <w:t xml:space="preserve"> of QTVIs hold the mandatory qualification in VI</w:t>
      </w:r>
      <w:r w:rsidR="007830CD">
        <w:rPr>
          <w:lang w:eastAsia="en-GB"/>
        </w:rPr>
        <w:t>;</w:t>
      </w:r>
      <w:r w:rsidR="00E54A13" w:rsidRPr="00E41665">
        <w:rPr>
          <w:lang w:eastAsia="en-GB"/>
        </w:rPr>
        <w:t xml:space="preserve"> 1</w:t>
      </w:r>
      <w:r w:rsidR="0081258B" w:rsidRPr="00E41665">
        <w:rPr>
          <w:lang w:eastAsia="en-GB"/>
        </w:rPr>
        <w:t>5</w:t>
      </w:r>
      <w:r w:rsidR="007830CD">
        <w:rPr>
          <w:lang w:eastAsia="en-GB"/>
        </w:rPr>
        <w:t xml:space="preserve"> per cent</w:t>
      </w:r>
      <w:r w:rsidR="00E54A13" w:rsidRPr="00E41665">
        <w:rPr>
          <w:lang w:eastAsia="en-GB"/>
        </w:rPr>
        <w:t xml:space="preserve"> are currently in</w:t>
      </w:r>
      <w:r w:rsidR="007830CD">
        <w:rPr>
          <w:lang w:eastAsia="en-GB"/>
        </w:rPr>
        <w:t xml:space="preserve"> -</w:t>
      </w:r>
      <w:r w:rsidR="00E54A13" w:rsidRPr="00E41665">
        <w:rPr>
          <w:lang w:eastAsia="en-GB"/>
        </w:rPr>
        <w:t xml:space="preserve"> or due to begin training</w:t>
      </w:r>
      <w:r w:rsidR="007830CD">
        <w:rPr>
          <w:lang w:eastAsia="en-GB"/>
        </w:rPr>
        <w:t>; four per cent</w:t>
      </w:r>
      <w:r w:rsidR="00E54A13" w:rsidRPr="00E41665">
        <w:rPr>
          <w:lang w:eastAsia="en-GB"/>
        </w:rPr>
        <w:t xml:space="preserve"> hold QTMSI</w:t>
      </w:r>
      <w:r w:rsidR="007830CD">
        <w:rPr>
          <w:lang w:eastAsia="en-GB"/>
        </w:rPr>
        <w:t>;</w:t>
      </w:r>
      <w:r w:rsidR="00E54A13" w:rsidRPr="00E41665">
        <w:rPr>
          <w:lang w:eastAsia="en-GB"/>
        </w:rPr>
        <w:t xml:space="preserve"> and only </w:t>
      </w:r>
      <w:r w:rsidR="007830CD">
        <w:rPr>
          <w:lang w:eastAsia="en-GB"/>
        </w:rPr>
        <w:t>three per cent</w:t>
      </w:r>
      <w:r w:rsidR="00E54A13" w:rsidRPr="00E41665">
        <w:rPr>
          <w:lang w:eastAsia="en-GB"/>
        </w:rPr>
        <w:t xml:space="preserve"> hold both </w:t>
      </w:r>
      <w:r w:rsidR="003B1FA8">
        <w:rPr>
          <w:lang w:eastAsia="en-GB"/>
        </w:rPr>
        <w:t xml:space="preserve">the </w:t>
      </w:r>
      <w:r w:rsidR="00E54A13" w:rsidRPr="00E41665">
        <w:rPr>
          <w:lang w:eastAsia="en-GB"/>
        </w:rPr>
        <w:t>QTVI and QTMSI</w:t>
      </w:r>
      <w:r w:rsidR="003B1FA8">
        <w:rPr>
          <w:lang w:eastAsia="en-GB"/>
        </w:rPr>
        <w:t xml:space="preserve"> </w:t>
      </w:r>
      <w:r w:rsidR="00E54A13" w:rsidRPr="00E41665">
        <w:rPr>
          <w:lang w:eastAsia="en-GB"/>
        </w:rPr>
        <w:t>qualifications.</w:t>
      </w:r>
    </w:p>
    <w:p w14:paraId="31848AE4" w14:textId="77777777" w:rsidR="00251D0E" w:rsidRPr="00E41665" w:rsidRDefault="00251D0E" w:rsidP="00E54A13">
      <w:pPr>
        <w:tabs>
          <w:tab w:val="left" w:pos="567"/>
        </w:tabs>
        <w:rPr>
          <w:lang w:eastAsia="en-GB"/>
        </w:rPr>
      </w:pPr>
    </w:p>
    <w:p w14:paraId="4CA7557F" w14:textId="0DB1E0A9" w:rsidR="00E54A13" w:rsidRPr="00E41665" w:rsidRDefault="68826668" w:rsidP="00E54A13">
      <w:pPr>
        <w:tabs>
          <w:tab w:val="left" w:pos="567"/>
        </w:tabs>
        <w:rPr>
          <w:lang w:eastAsia="en-GB"/>
        </w:rPr>
      </w:pPr>
      <w:r w:rsidRPr="0C6C5761">
        <w:rPr>
          <w:lang w:eastAsia="en-GB"/>
        </w:rPr>
        <w:t>6</w:t>
      </w:r>
      <w:r w:rsidR="783171D3" w:rsidRPr="0C6C5761">
        <w:rPr>
          <w:lang w:eastAsia="en-GB"/>
        </w:rPr>
        <w:t>1</w:t>
      </w:r>
      <w:r w:rsidR="47095661" w:rsidRPr="0C6C5761">
        <w:rPr>
          <w:lang w:eastAsia="en-GB"/>
        </w:rPr>
        <w:t xml:space="preserve"> per cent</w:t>
      </w:r>
      <w:r w:rsidRPr="0C6C5761">
        <w:rPr>
          <w:lang w:eastAsia="en-GB"/>
        </w:rPr>
        <w:t xml:space="preserve"> of LAs have reported a decrease or freeze in the number of QTVIs over the last year despite </w:t>
      </w:r>
      <w:r w:rsidR="0664DAED" w:rsidRPr="0C6C5761">
        <w:rPr>
          <w:lang w:eastAsia="en-GB"/>
        </w:rPr>
        <w:t>increasing</w:t>
      </w:r>
      <w:r w:rsidRPr="0C6C5761">
        <w:rPr>
          <w:lang w:eastAsia="en-GB"/>
        </w:rPr>
        <w:t xml:space="preserve"> caseloads. </w:t>
      </w:r>
      <w:r>
        <w:t xml:space="preserve">This will likely affect support for </w:t>
      </w:r>
      <w:r w:rsidR="60148295">
        <w:t xml:space="preserve">over 14,000 </w:t>
      </w:r>
      <w:r>
        <w:t>CYP accessing VI support.</w:t>
      </w:r>
      <w:r w:rsidR="60E33F3D">
        <w:t xml:space="preserve"> </w:t>
      </w:r>
      <w:r w:rsidR="00F78238">
        <w:t xml:space="preserve">Only </w:t>
      </w:r>
      <w:r w:rsidR="2ED1F946" w:rsidRPr="0C6C5761">
        <w:rPr>
          <w:lang w:eastAsia="en-GB"/>
        </w:rPr>
        <w:t>39</w:t>
      </w:r>
      <w:r w:rsidR="47095661" w:rsidRPr="0C6C5761">
        <w:rPr>
          <w:lang w:eastAsia="en-GB"/>
        </w:rPr>
        <w:t xml:space="preserve"> per cent</w:t>
      </w:r>
      <w:r w:rsidR="2ED1F946" w:rsidRPr="0C6C5761">
        <w:rPr>
          <w:lang w:eastAsia="en-GB"/>
        </w:rPr>
        <w:t xml:space="preserve"> of LAs have reported an increase in full time QTVIs</w:t>
      </w:r>
      <w:r w:rsidRPr="0C6C5761">
        <w:rPr>
          <w:lang w:eastAsia="en-GB"/>
        </w:rPr>
        <w:t>.</w:t>
      </w:r>
    </w:p>
    <w:p w14:paraId="4A87C7C5" w14:textId="77777777" w:rsidR="00E54A13" w:rsidRPr="00E41665" w:rsidRDefault="00E54A13" w:rsidP="00E54A13">
      <w:pPr>
        <w:tabs>
          <w:tab w:val="left" w:pos="567"/>
        </w:tabs>
        <w:rPr>
          <w:lang w:eastAsia="en-GB"/>
        </w:rPr>
      </w:pPr>
    </w:p>
    <w:p w14:paraId="5607BA37" w14:textId="3F3B5F70" w:rsidR="00E54A13" w:rsidRPr="00E41665" w:rsidRDefault="00E54A13" w:rsidP="00E54A13">
      <w:pPr>
        <w:tabs>
          <w:tab w:val="left" w:pos="567"/>
        </w:tabs>
        <w:rPr>
          <w:lang w:eastAsia="en-GB"/>
        </w:rPr>
      </w:pPr>
      <w:r w:rsidRPr="00E41665">
        <w:rPr>
          <w:lang w:eastAsia="en-GB"/>
        </w:rPr>
        <w:t xml:space="preserve">As </w:t>
      </w:r>
      <w:r w:rsidRPr="00E41665">
        <w:t>caseloads and the demand for support continues to increase, many authorities are either maintaining or decreasing their resource levels</w:t>
      </w:r>
      <w:r w:rsidR="00097C1D" w:rsidRPr="00E41665">
        <w:t>,</w:t>
      </w:r>
      <w:r w:rsidRPr="00E41665">
        <w:t xml:space="preserve"> resulting in </w:t>
      </w:r>
      <w:r w:rsidR="00764ABE">
        <w:t>support b</w:t>
      </w:r>
      <w:r w:rsidRPr="00E41665">
        <w:t>ecoming increasingly stretched.</w:t>
      </w:r>
    </w:p>
    <w:p w14:paraId="017FAE2B" w14:textId="77777777" w:rsidR="00E54A13" w:rsidRPr="00E41665" w:rsidRDefault="00E54A13" w:rsidP="00E54A13">
      <w:pPr>
        <w:tabs>
          <w:tab w:val="left" w:pos="567"/>
        </w:tabs>
        <w:rPr>
          <w:color w:val="FF0000"/>
          <w:lang w:eastAsia="en-GB"/>
        </w:rPr>
      </w:pPr>
    </w:p>
    <w:p w14:paraId="1A496776" w14:textId="77777777" w:rsidR="00E54A13" w:rsidRPr="003455DE" w:rsidRDefault="00E54A13">
      <w:pPr>
        <w:pStyle w:val="Heading3"/>
        <w:spacing w:before="240"/>
        <w:ind w:left="851" w:hanging="851"/>
        <w:rPr>
          <w:sz w:val="32"/>
          <w:szCs w:val="32"/>
        </w:rPr>
      </w:pPr>
      <w:bookmarkStart w:id="112" w:name="_Toc129775446"/>
      <w:r w:rsidRPr="003455DE">
        <w:rPr>
          <w:sz w:val="32"/>
          <w:szCs w:val="32"/>
        </w:rPr>
        <w:t>Teaching assistants</w:t>
      </w:r>
      <w:bookmarkEnd w:id="112"/>
    </w:p>
    <w:p w14:paraId="0D12EA6B" w14:textId="29211318" w:rsidR="00E54A13" w:rsidRDefault="00C918CC" w:rsidP="00E54A13">
      <w:pPr>
        <w:rPr>
          <w:lang w:eastAsia="en-GB"/>
        </w:rPr>
      </w:pPr>
      <w:r>
        <w:rPr>
          <w:lang w:eastAsia="en-GB"/>
        </w:rPr>
        <w:t>52</w:t>
      </w:r>
      <w:r w:rsidR="007830CD">
        <w:rPr>
          <w:lang w:eastAsia="en-GB"/>
        </w:rPr>
        <w:t xml:space="preserve"> per cent</w:t>
      </w:r>
      <w:r w:rsidR="001073D0" w:rsidRPr="00E41665">
        <w:rPr>
          <w:lang w:eastAsia="en-GB"/>
        </w:rPr>
        <w:t xml:space="preserve"> </w:t>
      </w:r>
      <w:r w:rsidR="00E54A13" w:rsidRPr="00E41665">
        <w:rPr>
          <w:lang w:eastAsia="en-GB"/>
        </w:rPr>
        <w:t>of responding authorities said they employ a teaching assistant</w:t>
      </w:r>
      <w:r w:rsidR="00097C1D" w:rsidRPr="00E41665">
        <w:rPr>
          <w:lang w:eastAsia="en-GB"/>
        </w:rPr>
        <w:t xml:space="preserve"> (TA)</w:t>
      </w:r>
      <w:r w:rsidR="003A6ADD" w:rsidRPr="00E41665">
        <w:rPr>
          <w:lang w:eastAsia="en-GB"/>
        </w:rPr>
        <w:t xml:space="preserve">, this is a </w:t>
      </w:r>
      <w:r w:rsidR="007830CD">
        <w:rPr>
          <w:lang w:eastAsia="en-GB"/>
        </w:rPr>
        <w:t>five per cent</w:t>
      </w:r>
      <w:r w:rsidR="003A6ADD" w:rsidRPr="00E41665">
        <w:rPr>
          <w:lang w:eastAsia="en-GB"/>
        </w:rPr>
        <w:t xml:space="preserve"> </w:t>
      </w:r>
      <w:r w:rsidR="00AE4A9F">
        <w:rPr>
          <w:lang w:eastAsia="en-GB"/>
        </w:rPr>
        <w:t>in</w:t>
      </w:r>
      <w:r w:rsidR="003A6ADD" w:rsidRPr="00E41665">
        <w:rPr>
          <w:lang w:eastAsia="en-GB"/>
        </w:rPr>
        <w:t>crease compared to the year before</w:t>
      </w:r>
      <w:r w:rsidR="00E54A13" w:rsidRPr="00E41665">
        <w:rPr>
          <w:lang w:eastAsia="en-GB"/>
        </w:rPr>
        <w:t>. The total number of TA posts (headcount of both full-time and part-time) across these authorities is 2</w:t>
      </w:r>
      <w:r w:rsidR="001127B3" w:rsidRPr="00E41665">
        <w:rPr>
          <w:lang w:eastAsia="en-GB"/>
        </w:rPr>
        <w:t>80</w:t>
      </w:r>
      <w:r w:rsidR="00E54A13" w:rsidRPr="00E41665">
        <w:rPr>
          <w:lang w:eastAsia="en-GB"/>
        </w:rPr>
        <w:t xml:space="preserve">. </w:t>
      </w:r>
      <w:r w:rsidR="00BA7685" w:rsidRPr="00E41665">
        <w:rPr>
          <w:lang w:eastAsia="en-GB"/>
        </w:rPr>
        <w:t>Despite this being a 16</w:t>
      </w:r>
      <w:r w:rsidR="007830CD">
        <w:rPr>
          <w:lang w:eastAsia="en-GB"/>
        </w:rPr>
        <w:t xml:space="preserve"> per cent</w:t>
      </w:r>
      <w:r w:rsidR="00BA7685" w:rsidRPr="00E41665">
        <w:rPr>
          <w:lang w:eastAsia="en-GB"/>
        </w:rPr>
        <w:t xml:space="preserve"> increase from </w:t>
      </w:r>
      <w:r w:rsidR="00857803" w:rsidRPr="00E41665">
        <w:rPr>
          <w:lang w:eastAsia="en-GB"/>
        </w:rPr>
        <w:t xml:space="preserve">2021, the overall </w:t>
      </w:r>
      <w:r w:rsidR="00F61185" w:rsidRPr="00E41665">
        <w:rPr>
          <w:lang w:eastAsia="en-GB"/>
        </w:rPr>
        <w:t xml:space="preserve">number of </w:t>
      </w:r>
      <w:r w:rsidR="00857803" w:rsidRPr="00E41665">
        <w:rPr>
          <w:lang w:eastAsia="en-GB"/>
        </w:rPr>
        <w:t>TA</w:t>
      </w:r>
      <w:r w:rsidR="004B1739">
        <w:rPr>
          <w:lang w:eastAsia="en-GB"/>
        </w:rPr>
        <w:t>s</w:t>
      </w:r>
      <w:r w:rsidR="00857803" w:rsidRPr="00E41665">
        <w:rPr>
          <w:lang w:eastAsia="en-GB"/>
        </w:rPr>
        <w:t xml:space="preserve"> </w:t>
      </w:r>
      <w:r w:rsidR="00F61185" w:rsidRPr="00E41665">
        <w:rPr>
          <w:lang w:eastAsia="en-GB"/>
        </w:rPr>
        <w:t>employed by local authorities has</w:t>
      </w:r>
      <w:r w:rsidR="00857803" w:rsidRPr="00E41665">
        <w:rPr>
          <w:lang w:eastAsia="en-GB"/>
        </w:rPr>
        <w:t xml:space="preserve"> dropped by </w:t>
      </w:r>
      <w:r w:rsidR="00E54A13" w:rsidRPr="00E41665">
        <w:rPr>
          <w:lang w:eastAsia="en-GB"/>
        </w:rPr>
        <w:t>8</w:t>
      </w:r>
      <w:r w:rsidR="0025159C" w:rsidRPr="00E41665">
        <w:rPr>
          <w:lang w:eastAsia="en-GB"/>
        </w:rPr>
        <w:t>3</w:t>
      </w:r>
      <w:r w:rsidR="007830CD">
        <w:rPr>
          <w:lang w:eastAsia="en-GB"/>
        </w:rPr>
        <w:t xml:space="preserve"> per cent</w:t>
      </w:r>
      <w:r w:rsidR="00E54A13" w:rsidRPr="00E41665">
        <w:rPr>
          <w:lang w:eastAsia="en-GB"/>
        </w:rPr>
        <w:t xml:space="preserve"> </w:t>
      </w:r>
      <w:r w:rsidR="00857803" w:rsidRPr="00E41665">
        <w:rPr>
          <w:lang w:eastAsia="en-GB"/>
        </w:rPr>
        <w:t>since 2017</w:t>
      </w:r>
      <w:r w:rsidR="00E54A13" w:rsidRPr="00E41665">
        <w:rPr>
          <w:lang w:eastAsia="en-GB"/>
        </w:rPr>
        <w:t>.</w:t>
      </w:r>
    </w:p>
    <w:p w14:paraId="09991BC9" w14:textId="77777777" w:rsidR="007A2726" w:rsidRPr="00E41665" w:rsidRDefault="007A2726" w:rsidP="00E54A13">
      <w:pPr>
        <w:rPr>
          <w:lang w:eastAsia="en-GB"/>
        </w:rPr>
      </w:pPr>
    </w:p>
    <w:p w14:paraId="45A9F816" w14:textId="77777777" w:rsidR="003455DE" w:rsidRDefault="003455DE" w:rsidP="00E54A13">
      <w:pPr>
        <w:rPr>
          <w:lang w:eastAsia="en-GB"/>
        </w:rPr>
      </w:pPr>
    </w:p>
    <w:p w14:paraId="0C4B78B2" w14:textId="506173F2" w:rsidR="00E54A13" w:rsidRPr="00E41665" w:rsidRDefault="006B7443" w:rsidP="00E54A13">
      <w:pPr>
        <w:rPr>
          <w:lang w:eastAsia="en-GB"/>
        </w:rPr>
      </w:pPr>
      <w:r>
        <w:rPr>
          <w:lang w:eastAsia="en-GB"/>
        </w:rPr>
        <w:t>Most</w:t>
      </w:r>
      <w:r w:rsidR="00E54A13" w:rsidRPr="00E41665">
        <w:rPr>
          <w:lang w:eastAsia="en-GB"/>
        </w:rPr>
        <w:t xml:space="preserve"> TAs are employed directly by schools as opposed to sensory services</w:t>
      </w:r>
      <w:r>
        <w:rPr>
          <w:lang w:eastAsia="en-GB"/>
        </w:rPr>
        <w:t>, t</w:t>
      </w:r>
      <w:r w:rsidR="00E970DC" w:rsidRPr="00E41665">
        <w:rPr>
          <w:lang w:eastAsia="en-GB"/>
        </w:rPr>
        <w:t xml:space="preserve">herefore, </w:t>
      </w:r>
      <w:r w:rsidR="00E54A13" w:rsidRPr="00E41665">
        <w:rPr>
          <w:lang w:eastAsia="en-GB"/>
        </w:rPr>
        <w:t>gathering an accurate picture of the TA workforce across the country would be very difficult.</w:t>
      </w:r>
      <w:r w:rsidR="001A1476">
        <w:rPr>
          <w:lang w:eastAsia="en-GB"/>
        </w:rPr>
        <w:t xml:space="preserve"> </w:t>
      </w:r>
      <w:r w:rsidR="001A1476" w:rsidRPr="001A1476">
        <w:rPr>
          <w:lang w:eastAsia="en-GB"/>
        </w:rPr>
        <w:t xml:space="preserve">This move away from LA specialist TAs risks children with VI receiving support from less specialist, skilled </w:t>
      </w:r>
      <w:proofErr w:type="spellStart"/>
      <w:r w:rsidR="001A1476" w:rsidRPr="001A1476">
        <w:rPr>
          <w:lang w:eastAsia="en-GB"/>
        </w:rPr>
        <w:t>TAs.</w:t>
      </w:r>
      <w:proofErr w:type="spellEnd"/>
      <w:r w:rsidR="001A1476">
        <w:rPr>
          <w:rFonts w:ascii="Segoe UI" w:hAnsi="Segoe UI" w:cs="Segoe UI"/>
          <w:color w:val="242424"/>
          <w:sz w:val="21"/>
          <w:szCs w:val="21"/>
          <w:shd w:val="clear" w:color="auto" w:fill="FFFFFF"/>
        </w:rPr>
        <w:t xml:space="preserve">  </w:t>
      </w:r>
      <w:r w:rsidR="00726442">
        <w:rPr>
          <w:lang w:eastAsia="en-GB"/>
        </w:rPr>
        <w:t xml:space="preserve">                                          </w:t>
      </w:r>
    </w:p>
    <w:p w14:paraId="46620B36" w14:textId="77777777" w:rsidR="00E54A13" w:rsidRPr="00E41665" w:rsidRDefault="00E54A13" w:rsidP="00E54A13">
      <w:pPr>
        <w:rPr>
          <w:lang w:eastAsia="en-GB"/>
        </w:rPr>
      </w:pPr>
    </w:p>
    <w:p w14:paraId="33103A56" w14:textId="4568139E" w:rsidR="00666052" w:rsidRDefault="00666052" w:rsidP="00E54A13">
      <w:pPr>
        <w:rPr>
          <w:lang w:eastAsia="en-GB"/>
        </w:rPr>
      </w:pPr>
    </w:p>
    <w:p w14:paraId="44C57462" w14:textId="77777777" w:rsidR="00666052" w:rsidRPr="00E41665" w:rsidRDefault="00666052" w:rsidP="00E54A13">
      <w:pPr>
        <w:rPr>
          <w:lang w:eastAsia="en-GB"/>
        </w:rPr>
      </w:pPr>
    </w:p>
    <w:p w14:paraId="64CF3A59" w14:textId="4E953A13" w:rsidR="00E54A13" w:rsidRPr="00E41665" w:rsidRDefault="00E54A13">
      <w:pPr>
        <w:pStyle w:val="Heading2"/>
        <w:ind w:left="851" w:hanging="851"/>
      </w:pPr>
      <w:bookmarkStart w:id="113" w:name="_Toc125543656"/>
      <w:bookmarkStart w:id="114" w:name="_Toc129775447"/>
      <w:r w:rsidRPr="00E41665">
        <w:lastRenderedPageBreak/>
        <w:t>Habilitation</w:t>
      </w:r>
      <w:bookmarkEnd w:id="113"/>
      <w:bookmarkEnd w:id="114"/>
    </w:p>
    <w:p w14:paraId="19F27D01" w14:textId="323250BD" w:rsidR="00382919" w:rsidRDefault="001416AC" w:rsidP="0056179F">
      <w:pPr>
        <w:rPr>
          <w:bCs/>
          <w:lang w:eastAsia="en-GB"/>
        </w:rPr>
      </w:pPr>
      <w:r>
        <w:rPr>
          <w:bCs/>
          <w:lang w:eastAsia="en-GB"/>
        </w:rPr>
        <w:t>A</w:t>
      </w:r>
      <w:r w:rsidR="0056179F" w:rsidRPr="00E41665">
        <w:rPr>
          <w:bCs/>
          <w:lang w:eastAsia="en-GB"/>
        </w:rPr>
        <w:t xml:space="preserve"> total of </w:t>
      </w:r>
      <w:r w:rsidR="0056179F" w:rsidRPr="00E41665">
        <w:t>4,2</w:t>
      </w:r>
      <w:r w:rsidR="003D5671">
        <w:t>0</w:t>
      </w:r>
      <w:r w:rsidR="0056179F" w:rsidRPr="00E41665">
        <w:t xml:space="preserve">1 </w:t>
      </w:r>
      <w:r w:rsidR="0056179F" w:rsidRPr="00E41665">
        <w:rPr>
          <w:bCs/>
          <w:lang w:eastAsia="en-GB"/>
        </w:rPr>
        <w:t xml:space="preserve">pupils are currently on active habilitation caseloads, with a further 563 waiting to be assessed. This is </w:t>
      </w:r>
      <w:r w:rsidR="007830CD">
        <w:rPr>
          <w:bCs/>
          <w:lang w:eastAsia="en-GB"/>
        </w:rPr>
        <w:t>a nine per cent</w:t>
      </w:r>
      <w:r w:rsidR="0056179F" w:rsidRPr="00E41665">
        <w:rPr>
          <w:bCs/>
          <w:lang w:eastAsia="en-GB"/>
        </w:rPr>
        <w:t xml:space="preserve"> increase</w:t>
      </w:r>
      <w:r w:rsidR="00ED7BFB">
        <w:rPr>
          <w:bCs/>
          <w:lang w:eastAsia="en-GB"/>
        </w:rPr>
        <w:t xml:space="preserve"> in active habilitation caseload</w:t>
      </w:r>
      <w:r w:rsidR="0056179F" w:rsidRPr="00E41665">
        <w:rPr>
          <w:bCs/>
          <w:lang w:eastAsia="en-GB"/>
        </w:rPr>
        <w:t xml:space="preserve"> from last year</w:t>
      </w:r>
      <w:r w:rsidR="00382919">
        <w:rPr>
          <w:bCs/>
          <w:lang w:eastAsia="en-GB"/>
        </w:rPr>
        <w:t>.</w:t>
      </w:r>
    </w:p>
    <w:p w14:paraId="143E8067" w14:textId="77777777" w:rsidR="0040374C" w:rsidRDefault="0040374C" w:rsidP="0056179F">
      <w:pPr>
        <w:rPr>
          <w:bCs/>
          <w:lang w:eastAsia="en-GB"/>
        </w:rPr>
      </w:pPr>
    </w:p>
    <w:p w14:paraId="5BC06396" w14:textId="6CA84FC1" w:rsidR="0056179F" w:rsidRPr="00E41665" w:rsidRDefault="00382919" w:rsidP="0056179F">
      <w:pPr>
        <w:rPr>
          <w:bCs/>
          <w:lang w:eastAsia="en-GB"/>
        </w:rPr>
      </w:pPr>
      <w:r w:rsidRPr="00E41665">
        <w:rPr>
          <w:bCs/>
          <w:lang w:eastAsia="en-GB"/>
        </w:rPr>
        <w:t xml:space="preserve">Of the </w:t>
      </w:r>
      <w:r>
        <w:rPr>
          <w:bCs/>
          <w:lang w:eastAsia="en-GB"/>
        </w:rPr>
        <w:t>CYP</w:t>
      </w:r>
      <w:r w:rsidRPr="00E41665">
        <w:rPr>
          <w:bCs/>
          <w:lang w:eastAsia="en-GB"/>
        </w:rPr>
        <w:t xml:space="preserve"> on </w:t>
      </w:r>
      <w:r w:rsidR="004A3741">
        <w:rPr>
          <w:bCs/>
          <w:lang w:eastAsia="en-GB"/>
        </w:rPr>
        <w:t xml:space="preserve">LA VI </w:t>
      </w:r>
      <w:r w:rsidRPr="00E41665">
        <w:rPr>
          <w:bCs/>
          <w:lang w:eastAsia="en-GB"/>
        </w:rPr>
        <w:t xml:space="preserve">active caseload, </w:t>
      </w:r>
      <w:r w:rsidR="0088615F" w:rsidRPr="00E41665">
        <w:rPr>
          <w:bCs/>
          <w:lang w:eastAsia="en-GB"/>
        </w:rPr>
        <w:t>1</w:t>
      </w:r>
      <w:r w:rsidR="0088615F">
        <w:rPr>
          <w:bCs/>
          <w:lang w:eastAsia="en-GB"/>
        </w:rPr>
        <w:t xml:space="preserve">5 </w:t>
      </w:r>
      <w:r w:rsidR="00960272">
        <w:rPr>
          <w:bCs/>
          <w:lang w:eastAsia="en-GB"/>
        </w:rPr>
        <w:t>per cent</w:t>
      </w:r>
      <w:r w:rsidRPr="00E41665">
        <w:rPr>
          <w:bCs/>
          <w:lang w:eastAsia="en-GB"/>
        </w:rPr>
        <w:t xml:space="preserve"> are </w:t>
      </w:r>
      <w:r w:rsidR="003C5A0E">
        <w:rPr>
          <w:bCs/>
          <w:lang w:eastAsia="en-GB"/>
        </w:rPr>
        <w:t xml:space="preserve">currently </w:t>
      </w:r>
      <w:r w:rsidRPr="00E41665">
        <w:rPr>
          <w:bCs/>
          <w:lang w:eastAsia="en-GB"/>
        </w:rPr>
        <w:t>receiving or waiting to be assessed for habilitation support</w:t>
      </w:r>
      <w:r w:rsidR="0040374C">
        <w:rPr>
          <w:bCs/>
          <w:lang w:eastAsia="en-GB"/>
        </w:rPr>
        <w:t xml:space="preserve">, </w:t>
      </w:r>
      <w:r w:rsidR="0056179F" w:rsidRPr="00E41665">
        <w:rPr>
          <w:bCs/>
        </w:rPr>
        <w:t xml:space="preserve">which represents one in </w:t>
      </w:r>
      <w:r w:rsidR="00EC3B1E">
        <w:rPr>
          <w:bCs/>
        </w:rPr>
        <w:t>five</w:t>
      </w:r>
      <w:r w:rsidR="0056179F" w:rsidRPr="00E41665">
        <w:rPr>
          <w:bCs/>
        </w:rPr>
        <w:t xml:space="preserve"> CYP</w:t>
      </w:r>
      <w:r w:rsidR="008F6DE3">
        <w:rPr>
          <w:bCs/>
        </w:rPr>
        <w:t xml:space="preserve"> on active </w:t>
      </w:r>
      <w:r w:rsidR="004B1739">
        <w:rPr>
          <w:bCs/>
        </w:rPr>
        <w:t xml:space="preserve">VI </w:t>
      </w:r>
      <w:r w:rsidR="008F6DE3">
        <w:rPr>
          <w:bCs/>
        </w:rPr>
        <w:t>caseload</w:t>
      </w:r>
      <w:r w:rsidR="004B1739">
        <w:rPr>
          <w:bCs/>
          <w:lang w:eastAsia="en-GB"/>
        </w:rPr>
        <w:t>s.</w:t>
      </w:r>
    </w:p>
    <w:p w14:paraId="7EB95B10" w14:textId="77777777" w:rsidR="0056179F" w:rsidRPr="00E41665" w:rsidRDefault="0056179F" w:rsidP="0056179F">
      <w:pPr>
        <w:rPr>
          <w:bCs/>
          <w:lang w:eastAsia="en-GB"/>
        </w:rPr>
      </w:pPr>
    </w:p>
    <w:p w14:paraId="27E77265" w14:textId="6398A2EB" w:rsidR="0056179F" w:rsidRPr="00E41665" w:rsidRDefault="00960272" w:rsidP="0056179F">
      <w:r>
        <w:t>Just under a quarter</w:t>
      </w:r>
      <w:r w:rsidR="0056179F" w:rsidRPr="00E41665">
        <w:t xml:space="preserve"> (21</w:t>
      </w:r>
      <w:r>
        <w:t xml:space="preserve"> per cent</w:t>
      </w:r>
      <w:r w:rsidR="0056179F" w:rsidRPr="00E41665">
        <w:t xml:space="preserve">) of authorities </w:t>
      </w:r>
      <w:r w:rsidR="000A0E71">
        <w:t xml:space="preserve">provided </w:t>
      </w:r>
      <w:r w:rsidR="00F91B33">
        <w:t>habilitation</w:t>
      </w:r>
      <w:r w:rsidR="007C1B4F">
        <w:t xml:space="preserve"> support for</w:t>
      </w:r>
      <w:r w:rsidR="0056179F" w:rsidRPr="00E41665">
        <w:t xml:space="preserve"> fewer than 10 children or young people</w:t>
      </w:r>
      <w:r w:rsidR="00046631">
        <w:t>.</w:t>
      </w:r>
      <w:r w:rsidR="0056179F" w:rsidRPr="00E41665">
        <w:t xml:space="preserve"> 44</w:t>
      </w:r>
      <w:r>
        <w:t xml:space="preserve"> per cent</w:t>
      </w:r>
      <w:r w:rsidR="0056179F" w:rsidRPr="00E41665">
        <w:t xml:space="preserve"> of authorities supported between 11- 20 CYP and 35</w:t>
      </w:r>
      <w:r>
        <w:t xml:space="preserve"> per cent</w:t>
      </w:r>
      <w:r w:rsidR="0056179F" w:rsidRPr="00E41665">
        <w:t xml:space="preserve"> of authorities supported more than 20</w:t>
      </w:r>
      <w:r w:rsidR="00C9330C">
        <w:t xml:space="preserve"> CYP.</w:t>
      </w:r>
    </w:p>
    <w:p w14:paraId="1FFAADBC" w14:textId="77777777" w:rsidR="0056179F" w:rsidRPr="00E41665" w:rsidRDefault="0056179F" w:rsidP="0056179F">
      <w:pPr>
        <w:rPr>
          <w:bCs/>
          <w:lang w:eastAsia="en-GB"/>
        </w:rPr>
      </w:pPr>
    </w:p>
    <w:p w14:paraId="6EE7C0CA" w14:textId="65CF35AA" w:rsidR="0056179F" w:rsidRPr="00E41665" w:rsidRDefault="0056179F" w:rsidP="0056179F">
      <w:pPr>
        <w:rPr>
          <w:bCs/>
          <w:lang w:eastAsia="en-GB"/>
        </w:rPr>
      </w:pPr>
      <w:r w:rsidRPr="00E41665">
        <w:rPr>
          <w:bCs/>
          <w:lang w:eastAsia="en-GB"/>
        </w:rPr>
        <w:t xml:space="preserve">When asked how habilitation services are delivered, </w:t>
      </w:r>
      <w:r w:rsidR="006E66E5">
        <w:rPr>
          <w:bCs/>
          <w:lang w:eastAsia="en-GB"/>
        </w:rPr>
        <w:t xml:space="preserve">well </w:t>
      </w:r>
      <w:r w:rsidRPr="00E41665">
        <w:rPr>
          <w:bCs/>
          <w:lang w:eastAsia="en-GB"/>
        </w:rPr>
        <w:t>over half</w:t>
      </w:r>
      <w:r w:rsidR="00A900DA">
        <w:rPr>
          <w:bCs/>
          <w:lang w:eastAsia="en-GB"/>
        </w:rPr>
        <w:t xml:space="preserve"> </w:t>
      </w:r>
      <w:r w:rsidRPr="00E41665">
        <w:rPr>
          <w:bCs/>
          <w:lang w:eastAsia="en-GB"/>
        </w:rPr>
        <w:t>of authorities</w:t>
      </w:r>
      <w:r w:rsidR="00A900DA">
        <w:rPr>
          <w:bCs/>
          <w:lang w:eastAsia="en-GB"/>
        </w:rPr>
        <w:t xml:space="preserve"> </w:t>
      </w:r>
      <w:r w:rsidR="00A900DA" w:rsidRPr="00E41665">
        <w:rPr>
          <w:bCs/>
          <w:lang w:eastAsia="en-GB"/>
        </w:rPr>
        <w:t>(60</w:t>
      </w:r>
      <w:r w:rsidR="00960272">
        <w:rPr>
          <w:bCs/>
          <w:lang w:eastAsia="en-GB"/>
        </w:rPr>
        <w:t xml:space="preserve"> per cent</w:t>
      </w:r>
      <w:r w:rsidR="00A900DA" w:rsidRPr="00E41665">
        <w:rPr>
          <w:bCs/>
          <w:lang w:eastAsia="en-GB"/>
        </w:rPr>
        <w:t xml:space="preserve">) </w:t>
      </w:r>
      <w:r w:rsidRPr="00E41665">
        <w:rPr>
          <w:bCs/>
          <w:lang w:eastAsia="en-GB"/>
        </w:rPr>
        <w:t>said they employ a habilitation specialist</w:t>
      </w:r>
      <w:r w:rsidR="00960272">
        <w:rPr>
          <w:bCs/>
          <w:lang w:eastAsia="en-GB"/>
        </w:rPr>
        <w:t>;</w:t>
      </w:r>
      <w:r w:rsidRPr="00E41665">
        <w:rPr>
          <w:bCs/>
          <w:lang w:eastAsia="en-GB"/>
        </w:rPr>
        <w:t xml:space="preserve"> 28</w:t>
      </w:r>
      <w:r w:rsidR="00960272">
        <w:rPr>
          <w:bCs/>
          <w:lang w:eastAsia="en-GB"/>
        </w:rPr>
        <w:t xml:space="preserve"> per cent</w:t>
      </w:r>
      <w:r w:rsidRPr="00E41665">
        <w:rPr>
          <w:bCs/>
          <w:lang w:eastAsia="en-GB"/>
        </w:rPr>
        <w:t xml:space="preserve"> said an external organisation is commissioned to deliver the service</w:t>
      </w:r>
      <w:r w:rsidR="00960272">
        <w:rPr>
          <w:bCs/>
          <w:lang w:eastAsia="en-GB"/>
        </w:rPr>
        <w:t>; and</w:t>
      </w:r>
      <w:r w:rsidRPr="00E41665">
        <w:rPr>
          <w:bCs/>
          <w:lang w:eastAsia="en-GB"/>
        </w:rPr>
        <w:t xml:space="preserve"> </w:t>
      </w:r>
      <w:r w:rsidR="00960272">
        <w:rPr>
          <w:bCs/>
          <w:lang w:eastAsia="en-GB"/>
        </w:rPr>
        <w:t>one per cent</w:t>
      </w:r>
      <w:r w:rsidRPr="00E41665">
        <w:rPr>
          <w:bCs/>
          <w:lang w:eastAsia="en-GB"/>
        </w:rPr>
        <w:t xml:space="preserve"> said services a</w:t>
      </w:r>
      <w:r w:rsidR="00743E84">
        <w:rPr>
          <w:bCs/>
          <w:lang w:eastAsia="en-GB"/>
        </w:rPr>
        <w:t>re</w:t>
      </w:r>
      <w:r w:rsidRPr="00E41665">
        <w:rPr>
          <w:bCs/>
          <w:lang w:eastAsia="en-GB"/>
        </w:rPr>
        <w:t xml:space="preserve"> spot purchased</w:t>
      </w:r>
      <w:r w:rsidR="009C6FA0">
        <w:rPr>
          <w:bCs/>
          <w:lang w:eastAsia="en-GB"/>
        </w:rPr>
        <w:t>.</w:t>
      </w:r>
    </w:p>
    <w:p w14:paraId="4BDBE7C3" w14:textId="77777777" w:rsidR="0056179F" w:rsidRPr="00E41665" w:rsidRDefault="0056179F" w:rsidP="0056179F">
      <w:pPr>
        <w:rPr>
          <w:bCs/>
          <w:lang w:eastAsia="en-GB"/>
        </w:rPr>
      </w:pPr>
    </w:p>
    <w:p w14:paraId="4E5710B6" w14:textId="7602285E" w:rsidR="0056179F" w:rsidRPr="00E41665" w:rsidRDefault="0056179F" w:rsidP="0056179F">
      <w:pPr>
        <w:rPr>
          <w:bCs/>
          <w:lang w:eastAsia="en-GB"/>
        </w:rPr>
      </w:pPr>
      <w:r w:rsidRPr="00E41665">
        <w:rPr>
          <w:bCs/>
          <w:lang w:eastAsia="en-GB"/>
        </w:rPr>
        <w:t>There was also an option for LAs to provide more information regarding service delivery</w:t>
      </w:r>
      <w:r w:rsidR="005D7E32">
        <w:rPr>
          <w:bCs/>
          <w:lang w:eastAsia="en-GB"/>
        </w:rPr>
        <w:t>.</w:t>
      </w:r>
      <w:r w:rsidRPr="00E41665">
        <w:rPr>
          <w:bCs/>
          <w:lang w:eastAsia="en-GB"/>
        </w:rPr>
        <w:t xml:space="preserve"> </w:t>
      </w:r>
      <w:r w:rsidR="005D7E32">
        <w:rPr>
          <w:bCs/>
          <w:lang w:eastAsia="en-GB"/>
        </w:rPr>
        <w:t>T</w:t>
      </w:r>
      <w:r w:rsidRPr="00E41665">
        <w:rPr>
          <w:bCs/>
          <w:lang w:eastAsia="en-GB"/>
        </w:rPr>
        <w:t>he most common organisation used to deliver habilitation services was Guide Dogs. Several authorities stated that habilitation support was delivered by QTVIs and specialist practitioners. There were also several authorities that highlighted ongoing vacancies for habilitation specialist</w:t>
      </w:r>
      <w:r w:rsidR="00D019D8">
        <w:rPr>
          <w:bCs/>
          <w:lang w:eastAsia="en-GB"/>
        </w:rPr>
        <w:t>s. I</w:t>
      </w:r>
      <w:r w:rsidRPr="00E41665">
        <w:rPr>
          <w:bCs/>
          <w:lang w:eastAsia="en-GB"/>
        </w:rPr>
        <w:t xml:space="preserve">n </w:t>
      </w:r>
      <w:r w:rsidR="00741882">
        <w:rPr>
          <w:bCs/>
          <w:lang w:eastAsia="en-GB"/>
        </w:rPr>
        <w:t>the inter</w:t>
      </w:r>
      <w:r w:rsidR="003A5BE8">
        <w:rPr>
          <w:bCs/>
          <w:lang w:eastAsia="en-GB"/>
        </w:rPr>
        <w:t xml:space="preserve">im </w:t>
      </w:r>
      <w:r w:rsidRPr="00E41665">
        <w:rPr>
          <w:bCs/>
          <w:lang w:eastAsia="en-GB"/>
        </w:rPr>
        <w:t xml:space="preserve">support was </w:t>
      </w:r>
      <w:r w:rsidR="00D019D8">
        <w:rPr>
          <w:bCs/>
          <w:lang w:eastAsia="en-GB"/>
        </w:rPr>
        <w:t xml:space="preserve">being </w:t>
      </w:r>
      <w:r w:rsidRPr="00E41665">
        <w:rPr>
          <w:bCs/>
          <w:lang w:eastAsia="en-GB"/>
        </w:rPr>
        <w:t xml:space="preserve">delivered by a QTVI. This once again raises issues around the lack of </w:t>
      </w:r>
      <w:r w:rsidR="00EC35B6">
        <w:rPr>
          <w:bCs/>
          <w:lang w:eastAsia="en-GB"/>
        </w:rPr>
        <w:t xml:space="preserve">suitably qualified </w:t>
      </w:r>
      <w:r w:rsidRPr="00E41665">
        <w:rPr>
          <w:bCs/>
          <w:lang w:eastAsia="en-GB"/>
        </w:rPr>
        <w:t xml:space="preserve">staff available to provide adequate </w:t>
      </w:r>
      <w:r w:rsidR="00EC35B6">
        <w:rPr>
          <w:bCs/>
          <w:lang w:eastAsia="en-GB"/>
        </w:rPr>
        <w:t xml:space="preserve">specialist </w:t>
      </w:r>
      <w:r w:rsidRPr="00E41665">
        <w:rPr>
          <w:bCs/>
          <w:lang w:eastAsia="en-GB"/>
        </w:rPr>
        <w:t xml:space="preserve">support in an education environment. </w:t>
      </w:r>
    </w:p>
    <w:p w14:paraId="241948D4" w14:textId="77777777" w:rsidR="00874940" w:rsidRPr="00E41665" w:rsidRDefault="00874940" w:rsidP="00E54A13"/>
    <w:p w14:paraId="085F5236" w14:textId="3D9170A2" w:rsidR="00DF5075" w:rsidRPr="00E41665" w:rsidRDefault="00666052" w:rsidP="00E54A13">
      <w:r>
        <w:br w:type="page"/>
      </w:r>
    </w:p>
    <w:p w14:paraId="327368B0" w14:textId="331197FD" w:rsidR="00E54A13" w:rsidRPr="00E41665" w:rsidRDefault="00E54A13">
      <w:pPr>
        <w:pStyle w:val="Heading2"/>
        <w:ind w:left="851" w:hanging="851"/>
      </w:pPr>
      <w:bookmarkStart w:id="115" w:name="_Toc125543657"/>
      <w:bookmarkStart w:id="116" w:name="_Toc129775448"/>
      <w:r w:rsidRPr="00E41665">
        <w:lastRenderedPageBreak/>
        <w:t>Curriculum Framework for Children Young People with Vision Impairment (CFVI)</w:t>
      </w:r>
      <w:bookmarkEnd w:id="115"/>
      <w:bookmarkEnd w:id="116"/>
    </w:p>
    <w:p w14:paraId="10840946" w14:textId="686FDCCC" w:rsidR="00E54A13" w:rsidRPr="00E41665" w:rsidRDefault="00E54A13" w:rsidP="003455DE">
      <w:pPr>
        <w:spacing w:before="240" w:after="240"/>
        <w:rPr>
          <w:bCs/>
          <w:lang w:eastAsia="en-GB"/>
        </w:rPr>
      </w:pPr>
      <w:r w:rsidRPr="00E41665">
        <w:rPr>
          <w:bCs/>
          <w:lang w:eastAsia="en-GB"/>
        </w:rPr>
        <w:t>We asked local authorities what existing framework</w:t>
      </w:r>
      <w:r w:rsidR="004B1739">
        <w:rPr>
          <w:bCs/>
          <w:lang w:eastAsia="en-GB"/>
        </w:rPr>
        <w:t>s</w:t>
      </w:r>
      <w:r w:rsidRPr="00E41665">
        <w:rPr>
          <w:bCs/>
          <w:lang w:eastAsia="en-GB"/>
        </w:rPr>
        <w:t xml:space="preserve"> or curriculum they used to support CYP with VI. </w:t>
      </w:r>
      <w:r w:rsidR="002F13ED" w:rsidRPr="00E41665">
        <w:rPr>
          <w:bCs/>
          <w:lang w:eastAsia="en-GB"/>
        </w:rPr>
        <w:t>A</w:t>
      </w:r>
      <w:r w:rsidR="00726815" w:rsidRPr="00E41665">
        <w:rPr>
          <w:bCs/>
          <w:lang w:eastAsia="en-GB"/>
        </w:rPr>
        <w:t>uthorities</w:t>
      </w:r>
      <w:r w:rsidR="002F13ED" w:rsidRPr="00E41665">
        <w:rPr>
          <w:bCs/>
          <w:lang w:eastAsia="en-GB"/>
        </w:rPr>
        <w:t xml:space="preserve"> </w:t>
      </w:r>
      <w:r w:rsidRPr="00E41665">
        <w:rPr>
          <w:bCs/>
          <w:lang w:eastAsia="en-GB"/>
        </w:rPr>
        <w:t xml:space="preserve">were able to select more than one option. </w:t>
      </w:r>
    </w:p>
    <w:p w14:paraId="34647409" w14:textId="45008F3D" w:rsidR="00E54A13" w:rsidRPr="00E41665" w:rsidRDefault="00E54A13" w:rsidP="00E54A13">
      <w:pPr>
        <w:pStyle w:val="ListBullet"/>
        <w:numPr>
          <w:ilvl w:val="0"/>
          <w:numId w:val="1"/>
        </w:numPr>
        <w:rPr>
          <w:lang w:eastAsia="en-GB"/>
        </w:rPr>
      </w:pPr>
      <w:r w:rsidRPr="0C6C5761">
        <w:rPr>
          <w:lang w:eastAsia="en-GB"/>
        </w:rPr>
        <w:t>8</w:t>
      </w:r>
      <w:r w:rsidR="2D90A633" w:rsidRPr="0C6C5761">
        <w:rPr>
          <w:lang w:eastAsia="en-GB"/>
        </w:rPr>
        <w:t>6</w:t>
      </w:r>
      <w:r w:rsidR="7ACDEA32" w:rsidRPr="0C6C5761">
        <w:rPr>
          <w:lang w:eastAsia="en-GB"/>
        </w:rPr>
        <w:t xml:space="preserve"> per cent</w:t>
      </w:r>
      <w:r w:rsidRPr="0C6C5761">
        <w:rPr>
          <w:lang w:eastAsia="en-GB"/>
        </w:rPr>
        <w:t xml:space="preserve"> used Developmental Journal (DJVI)</w:t>
      </w:r>
    </w:p>
    <w:p w14:paraId="0CC43A31" w14:textId="4183F831" w:rsidR="00E54A13" w:rsidRPr="00E41665" w:rsidRDefault="00E54A13" w:rsidP="00E54A13">
      <w:pPr>
        <w:pStyle w:val="ListBullet"/>
        <w:numPr>
          <w:ilvl w:val="0"/>
          <w:numId w:val="1"/>
        </w:numPr>
        <w:rPr>
          <w:lang w:eastAsia="en-GB"/>
        </w:rPr>
      </w:pPr>
      <w:r w:rsidRPr="0C6C5761">
        <w:rPr>
          <w:lang w:eastAsia="en-GB"/>
        </w:rPr>
        <w:t>6</w:t>
      </w:r>
      <w:r w:rsidR="17B103E2" w:rsidRPr="0C6C5761">
        <w:rPr>
          <w:lang w:eastAsia="en-GB"/>
        </w:rPr>
        <w:t>5</w:t>
      </w:r>
      <w:r w:rsidR="7ACDEA32" w:rsidRPr="0C6C5761">
        <w:rPr>
          <w:lang w:eastAsia="en-GB"/>
        </w:rPr>
        <w:t xml:space="preserve"> per cent</w:t>
      </w:r>
      <w:r w:rsidRPr="0C6C5761">
        <w:rPr>
          <w:lang w:eastAsia="en-GB"/>
        </w:rPr>
        <w:t xml:space="preserve"> used Quality Standards for Habilitation</w:t>
      </w:r>
    </w:p>
    <w:p w14:paraId="5EF910C3" w14:textId="7ED55241" w:rsidR="00E54A13" w:rsidRPr="00E41665" w:rsidRDefault="00E54A13" w:rsidP="00E54A13">
      <w:pPr>
        <w:pStyle w:val="ListBullet"/>
        <w:numPr>
          <w:ilvl w:val="0"/>
          <w:numId w:val="1"/>
        </w:numPr>
        <w:rPr>
          <w:lang w:eastAsia="en-GB"/>
        </w:rPr>
      </w:pPr>
      <w:r w:rsidRPr="0C6C5761">
        <w:rPr>
          <w:lang w:eastAsia="en-GB"/>
        </w:rPr>
        <w:t>5</w:t>
      </w:r>
      <w:r w:rsidR="3FF4D588" w:rsidRPr="0C6C5761">
        <w:rPr>
          <w:lang w:eastAsia="en-GB"/>
        </w:rPr>
        <w:t>6</w:t>
      </w:r>
      <w:r w:rsidR="7ACDEA32" w:rsidRPr="0C6C5761">
        <w:rPr>
          <w:lang w:eastAsia="en-GB"/>
        </w:rPr>
        <w:t xml:space="preserve"> per cent</w:t>
      </w:r>
      <w:r w:rsidRPr="0C6C5761">
        <w:rPr>
          <w:lang w:eastAsia="en-GB"/>
        </w:rPr>
        <w:t xml:space="preserve"> used </w:t>
      </w:r>
      <w:proofErr w:type="spellStart"/>
      <w:r w:rsidR="6DDD2FC7" w:rsidRPr="0C6C5761">
        <w:rPr>
          <w:lang w:eastAsia="en-GB"/>
        </w:rPr>
        <w:t>NatSIP</w:t>
      </w:r>
      <w:proofErr w:type="spellEnd"/>
      <w:r w:rsidR="6DDD2FC7" w:rsidRPr="0C6C5761">
        <w:rPr>
          <w:lang w:eastAsia="en-GB"/>
        </w:rPr>
        <w:t xml:space="preserve"> Learner Outcomes Framework</w:t>
      </w:r>
    </w:p>
    <w:p w14:paraId="1404F411" w14:textId="58C17B60" w:rsidR="00E54A13" w:rsidRPr="00E41665" w:rsidRDefault="78332455" w:rsidP="00E54A13">
      <w:pPr>
        <w:pStyle w:val="ListBullet"/>
        <w:numPr>
          <w:ilvl w:val="0"/>
          <w:numId w:val="1"/>
        </w:numPr>
        <w:rPr>
          <w:lang w:eastAsia="en-GB"/>
        </w:rPr>
      </w:pPr>
      <w:r w:rsidRPr="0C6C5761">
        <w:rPr>
          <w:lang w:eastAsia="en-GB"/>
        </w:rPr>
        <w:t>3</w:t>
      </w:r>
      <w:r w:rsidR="5069E909" w:rsidRPr="0C6C5761">
        <w:rPr>
          <w:lang w:eastAsia="en-GB"/>
        </w:rPr>
        <w:t>8</w:t>
      </w:r>
      <w:r w:rsidR="7ACDEA32" w:rsidRPr="0C6C5761">
        <w:rPr>
          <w:lang w:eastAsia="en-GB"/>
        </w:rPr>
        <w:t xml:space="preserve"> per cent</w:t>
      </w:r>
      <w:r w:rsidR="00E54A13" w:rsidRPr="0C6C5761">
        <w:rPr>
          <w:lang w:eastAsia="en-GB"/>
        </w:rPr>
        <w:t xml:space="preserve"> used </w:t>
      </w:r>
      <w:r w:rsidRPr="0C6C5761">
        <w:rPr>
          <w:lang w:eastAsia="en-GB"/>
        </w:rPr>
        <w:t xml:space="preserve">a </w:t>
      </w:r>
      <w:r>
        <w:t>b</w:t>
      </w:r>
      <w:r w:rsidRPr="0C6C5761">
        <w:rPr>
          <w:lang w:eastAsia="en-GB"/>
        </w:rPr>
        <w:t>espoke programme designed in house</w:t>
      </w:r>
    </w:p>
    <w:p w14:paraId="1D13E0E2" w14:textId="11A70425" w:rsidR="00E54A13" w:rsidRPr="00E41665" w:rsidRDefault="00E54A13" w:rsidP="00E54A13">
      <w:pPr>
        <w:pStyle w:val="ListBullet"/>
        <w:numPr>
          <w:ilvl w:val="0"/>
          <w:numId w:val="1"/>
        </w:numPr>
        <w:rPr>
          <w:lang w:eastAsia="en-GB"/>
        </w:rPr>
      </w:pPr>
      <w:r w:rsidRPr="0C6C5761">
        <w:rPr>
          <w:lang w:eastAsia="en-GB"/>
        </w:rPr>
        <w:t>2</w:t>
      </w:r>
      <w:r w:rsidR="12F048D0" w:rsidRPr="0C6C5761">
        <w:rPr>
          <w:lang w:eastAsia="en-GB"/>
        </w:rPr>
        <w:t>5</w:t>
      </w:r>
      <w:r w:rsidR="7ACDEA32" w:rsidRPr="0C6C5761">
        <w:rPr>
          <w:lang w:eastAsia="en-GB"/>
        </w:rPr>
        <w:t xml:space="preserve"> per cent</w:t>
      </w:r>
      <w:r w:rsidRPr="0C6C5761">
        <w:rPr>
          <w:lang w:eastAsia="en-GB"/>
        </w:rPr>
        <w:t xml:space="preserve"> used Steps to Independence</w:t>
      </w:r>
      <w:r w:rsidR="04B94557" w:rsidRPr="0C6C5761">
        <w:rPr>
          <w:lang w:eastAsia="en-GB"/>
        </w:rPr>
        <w:t xml:space="preserve"> – the mobility and independence needs of children with vision impairment</w:t>
      </w:r>
    </w:p>
    <w:p w14:paraId="1EA6F421" w14:textId="3D5E9D4E" w:rsidR="00E54A13" w:rsidRPr="00E41665" w:rsidRDefault="00ED3BEC" w:rsidP="00E54A13">
      <w:pPr>
        <w:pStyle w:val="ListBullet"/>
        <w:numPr>
          <w:ilvl w:val="0"/>
          <w:numId w:val="1"/>
        </w:numPr>
        <w:rPr>
          <w:lang w:eastAsia="en-GB"/>
        </w:rPr>
      </w:pPr>
      <w:r w:rsidRPr="00E41665">
        <w:rPr>
          <w:lang w:eastAsia="en-GB"/>
        </w:rPr>
        <w:t>18</w:t>
      </w:r>
      <w:r w:rsidR="005D7E32">
        <w:rPr>
          <w:lang w:eastAsia="en-GB"/>
        </w:rPr>
        <w:t xml:space="preserve"> per cent</w:t>
      </w:r>
      <w:r w:rsidR="00E54A13" w:rsidRPr="00E41665">
        <w:rPr>
          <w:lang w:eastAsia="en-GB"/>
        </w:rPr>
        <w:t xml:space="preserve"> used Expanded Core Curriculum (E</w:t>
      </w:r>
      <w:r w:rsidR="00DC0769">
        <w:rPr>
          <w:lang w:eastAsia="en-GB"/>
        </w:rPr>
        <w:t>C</w:t>
      </w:r>
      <w:r w:rsidR="00E54A13" w:rsidRPr="00E41665">
        <w:rPr>
          <w:lang w:eastAsia="en-GB"/>
        </w:rPr>
        <w:t xml:space="preserve">C) – USA </w:t>
      </w:r>
    </w:p>
    <w:p w14:paraId="05F0480B" w14:textId="4F56B2FE" w:rsidR="00E54A13" w:rsidRPr="00E41665" w:rsidRDefault="7E99BAB9" w:rsidP="00E54A13">
      <w:pPr>
        <w:pStyle w:val="ListBullet"/>
        <w:numPr>
          <w:ilvl w:val="0"/>
          <w:numId w:val="1"/>
        </w:numPr>
        <w:rPr>
          <w:lang w:eastAsia="en-GB"/>
        </w:rPr>
      </w:pPr>
      <w:r w:rsidRPr="0C6C5761">
        <w:rPr>
          <w:lang w:eastAsia="en-GB"/>
        </w:rPr>
        <w:t>1</w:t>
      </w:r>
      <w:r w:rsidR="7B65C60B" w:rsidRPr="0C6C5761">
        <w:rPr>
          <w:lang w:eastAsia="en-GB"/>
        </w:rPr>
        <w:t>8</w:t>
      </w:r>
      <w:r w:rsidR="7ACDEA32" w:rsidRPr="0C6C5761">
        <w:rPr>
          <w:lang w:eastAsia="en-GB"/>
        </w:rPr>
        <w:t xml:space="preserve"> per cent</w:t>
      </w:r>
      <w:r w:rsidR="00E54A13" w:rsidRPr="0C6C5761">
        <w:rPr>
          <w:lang w:eastAsia="en-GB"/>
        </w:rPr>
        <w:t xml:space="preserve"> used Guide Dogs</w:t>
      </w:r>
      <w:r w:rsidR="7ACDEA32" w:rsidRPr="0C6C5761">
        <w:rPr>
          <w:lang w:eastAsia="en-GB"/>
        </w:rPr>
        <w:t>’</w:t>
      </w:r>
      <w:r w:rsidR="00E54A13" w:rsidRPr="0C6C5761">
        <w:rPr>
          <w:lang w:eastAsia="en-GB"/>
        </w:rPr>
        <w:t xml:space="preserve"> Habilitation programme</w:t>
      </w:r>
    </w:p>
    <w:p w14:paraId="6E088E5B" w14:textId="77777777" w:rsidR="00E54A13" w:rsidRPr="00E41665" w:rsidRDefault="00E54A13" w:rsidP="00E54A13">
      <w:pPr>
        <w:rPr>
          <w:bCs/>
          <w:lang w:eastAsia="en-GB"/>
        </w:rPr>
      </w:pPr>
    </w:p>
    <w:p w14:paraId="5EC21986" w14:textId="41E62F2A" w:rsidR="004E6E0C" w:rsidRPr="00E41665" w:rsidRDefault="00E54A13" w:rsidP="00DD138E">
      <w:pPr>
        <w:rPr>
          <w:bCs/>
          <w:lang w:eastAsia="en-GB"/>
        </w:rPr>
      </w:pPr>
      <w:r w:rsidRPr="00E41665">
        <w:rPr>
          <w:bCs/>
          <w:lang w:eastAsia="en-GB"/>
        </w:rPr>
        <w:t>Authorities were given an option to provide an alternative answer</w:t>
      </w:r>
      <w:r w:rsidR="006D60BA" w:rsidRPr="00E41665">
        <w:rPr>
          <w:bCs/>
          <w:lang w:eastAsia="en-GB"/>
        </w:rPr>
        <w:t xml:space="preserve"> or provide extra information, </w:t>
      </w:r>
      <w:r w:rsidR="007B33F9">
        <w:rPr>
          <w:bCs/>
          <w:lang w:eastAsia="en-GB"/>
        </w:rPr>
        <w:t xml:space="preserve">the </w:t>
      </w:r>
      <w:r w:rsidR="008C400B" w:rsidRPr="00E41665">
        <w:rPr>
          <w:bCs/>
          <w:lang w:eastAsia="en-GB"/>
        </w:rPr>
        <w:t>majority of authorities</w:t>
      </w:r>
      <w:r w:rsidR="0096730E" w:rsidRPr="00E41665">
        <w:rPr>
          <w:bCs/>
          <w:lang w:eastAsia="en-GB"/>
        </w:rPr>
        <w:t xml:space="preserve"> stated they were either moving from E</w:t>
      </w:r>
      <w:r w:rsidR="005B024C">
        <w:rPr>
          <w:bCs/>
          <w:lang w:eastAsia="en-GB"/>
        </w:rPr>
        <w:t>C</w:t>
      </w:r>
      <w:r w:rsidR="00533EA7" w:rsidRPr="00E41665">
        <w:rPr>
          <w:bCs/>
          <w:lang w:eastAsia="en-GB"/>
        </w:rPr>
        <w:t>C</w:t>
      </w:r>
      <w:r w:rsidR="0096730E" w:rsidRPr="00E41665">
        <w:rPr>
          <w:bCs/>
          <w:lang w:eastAsia="en-GB"/>
        </w:rPr>
        <w:t xml:space="preserve"> to</w:t>
      </w:r>
      <w:r w:rsidR="008C400B" w:rsidRPr="00E41665">
        <w:rPr>
          <w:bCs/>
          <w:lang w:eastAsia="en-GB"/>
        </w:rPr>
        <w:t xml:space="preserve"> CFVI</w:t>
      </w:r>
      <w:r w:rsidR="0096730E" w:rsidRPr="00E41665">
        <w:rPr>
          <w:bCs/>
          <w:lang w:eastAsia="en-GB"/>
        </w:rPr>
        <w:t xml:space="preserve"> or </w:t>
      </w:r>
      <w:r w:rsidR="000351EC">
        <w:rPr>
          <w:bCs/>
          <w:lang w:eastAsia="en-GB"/>
        </w:rPr>
        <w:t xml:space="preserve">are </w:t>
      </w:r>
      <w:r w:rsidR="0096730E" w:rsidRPr="00E41665">
        <w:rPr>
          <w:bCs/>
          <w:lang w:eastAsia="en-GB"/>
        </w:rPr>
        <w:t xml:space="preserve">already using </w:t>
      </w:r>
      <w:r w:rsidR="004B1739">
        <w:rPr>
          <w:bCs/>
          <w:lang w:eastAsia="en-GB"/>
        </w:rPr>
        <w:t xml:space="preserve">the </w:t>
      </w:r>
      <w:r w:rsidR="0096730E" w:rsidRPr="00E41665">
        <w:rPr>
          <w:bCs/>
          <w:lang w:eastAsia="en-GB"/>
        </w:rPr>
        <w:t>CFV</w:t>
      </w:r>
      <w:r w:rsidR="00533EA7" w:rsidRPr="00E41665">
        <w:rPr>
          <w:bCs/>
          <w:lang w:eastAsia="en-GB"/>
        </w:rPr>
        <w:t>I</w:t>
      </w:r>
      <w:r w:rsidR="003F239A" w:rsidRPr="00E41665">
        <w:rPr>
          <w:bCs/>
          <w:lang w:eastAsia="en-GB"/>
        </w:rPr>
        <w:t xml:space="preserve">. </w:t>
      </w:r>
    </w:p>
    <w:p w14:paraId="366D92A6" w14:textId="77777777" w:rsidR="004E6E0C" w:rsidRPr="00E41665" w:rsidRDefault="004E6E0C" w:rsidP="00DD138E">
      <w:pPr>
        <w:rPr>
          <w:bCs/>
          <w:lang w:eastAsia="en-GB"/>
        </w:rPr>
      </w:pPr>
    </w:p>
    <w:p w14:paraId="7C9183BA" w14:textId="150E6940" w:rsidR="00DD138E" w:rsidRPr="00E41665" w:rsidRDefault="00DD138E" w:rsidP="00DD138E">
      <w:pPr>
        <w:rPr>
          <w:bCs/>
          <w:lang w:eastAsia="en-GB"/>
        </w:rPr>
      </w:pPr>
      <w:r w:rsidRPr="00E41665">
        <w:rPr>
          <w:bCs/>
          <w:lang w:eastAsia="en-GB"/>
        </w:rPr>
        <w:t xml:space="preserve">When asked if LAs were aware of the Curriculum Framework for Children and Young People with Vision Impairment (CFVI) </w:t>
      </w:r>
      <w:r w:rsidR="00F94807" w:rsidRPr="00E41665">
        <w:rPr>
          <w:bCs/>
          <w:lang w:eastAsia="en-GB"/>
        </w:rPr>
        <w:t>91</w:t>
      </w:r>
      <w:r w:rsidR="005D7E32">
        <w:rPr>
          <w:bCs/>
          <w:lang w:eastAsia="en-GB"/>
        </w:rPr>
        <w:t xml:space="preserve"> per cent</w:t>
      </w:r>
      <w:r w:rsidRPr="00E41665">
        <w:rPr>
          <w:bCs/>
          <w:lang w:eastAsia="en-GB"/>
        </w:rPr>
        <w:t xml:space="preserve"> said yes</w:t>
      </w:r>
      <w:r w:rsidR="00C429D3">
        <w:rPr>
          <w:bCs/>
          <w:lang w:eastAsia="en-GB"/>
        </w:rPr>
        <w:t>, which is an increase from last year</w:t>
      </w:r>
      <w:r w:rsidR="005D7E32">
        <w:rPr>
          <w:bCs/>
          <w:lang w:eastAsia="en-GB"/>
        </w:rPr>
        <w:t>;</w:t>
      </w:r>
      <w:r w:rsidRPr="00E41665">
        <w:rPr>
          <w:bCs/>
          <w:lang w:eastAsia="en-GB"/>
        </w:rPr>
        <w:t xml:space="preserve"> </w:t>
      </w:r>
      <w:r w:rsidR="00C429D3">
        <w:rPr>
          <w:bCs/>
          <w:lang w:eastAsia="en-GB"/>
        </w:rPr>
        <w:t xml:space="preserve">only </w:t>
      </w:r>
      <w:r w:rsidR="005D7E32">
        <w:rPr>
          <w:bCs/>
          <w:lang w:eastAsia="en-GB"/>
        </w:rPr>
        <w:t>four per cent</w:t>
      </w:r>
      <w:r w:rsidRPr="00E41665">
        <w:rPr>
          <w:bCs/>
          <w:lang w:eastAsia="en-GB"/>
        </w:rPr>
        <w:t xml:space="preserve"> said no.</w:t>
      </w:r>
    </w:p>
    <w:p w14:paraId="6CF47543" w14:textId="77777777" w:rsidR="004533AB" w:rsidRPr="00E41665" w:rsidRDefault="004533AB" w:rsidP="00DD138E">
      <w:pPr>
        <w:rPr>
          <w:bCs/>
          <w:lang w:eastAsia="en-GB"/>
        </w:rPr>
      </w:pPr>
    </w:p>
    <w:p w14:paraId="6FD786BC" w14:textId="1D25ADCF" w:rsidR="004533AB" w:rsidRPr="00E41665" w:rsidRDefault="004533AB" w:rsidP="004533AB">
      <w:pPr>
        <w:rPr>
          <w:bCs/>
          <w:lang w:eastAsia="en-GB"/>
        </w:rPr>
      </w:pPr>
      <w:r w:rsidRPr="00E41665">
        <w:rPr>
          <w:bCs/>
          <w:lang w:eastAsia="en-GB"/>
        </w:rPr>
        <w:t>Authorities were asked if they incorporated any aspects of the CFVI in their normal working practice</w:t>
      </w:r>
      <w:r w:rsidR="00301CBA" w:rsidRPr="00E41665">
        <w:rPr>
          <w:bCs/>
          <w:lang w:eastAsia="en-GB"/>
        </w:rPr>
        <w:t>s</w:t>
      </w:r>
      <w:r w:rsidR="00E94383">
        <w:rPr>
          <w:bCs/>
          <w:lang w:eastAsia="en-GB"/>
        </w:rPr>
        <w:t>;</w:t>
      </w:r>
      <w:r w:rsidR="006B54A3" w:rsidRPr="00E41665">
        <w:rPr>
          <w:bCs/>
          <w:lang w:eastAsia="en-GB"/>
        </w:rPr>
        <w:t xml:space="preserve"> </w:t>
      </w:r>
      <w:r w:rsidR="002269E0">
        <w:rPr>
          <w:bCs/>
          <w:lang w:eastAsia="en-GB"/>
        </w:rPr>
        <w:t xml:space="preserve">the </w:t>
      </w:r>
      <w:r w:rsidR="006B54A3" w:rsidRPr="00E41665">
        <w:rPr>
          <w:bCs/>
          <w:lang w:eastAsia="en-GB"/>
        </w:rPr>
        <w:t xml:space="preserve">majority of authorities said they use both </w:t>
      </w:r>
      <w:r w:rsidR="004B1739">
        <w:rPr>
          <w:bCs/>
          <w:lang w:eastAsia="en-GB"/>
        </w:rPr>
        <w:t xml:space="preserve">the </w:t>
      </w:r>
      <w:r w:rsidR="006B54A3" w:rsidRPr="00E41665">
        <w:rPr>
          <w:bCs/>
          <w:lang w:eastAsia="en-GB"/>
        </w:rPr>
        <w:t>criteria and resources in assessment, planning and reports.</w:t>
      </w:r>
    </w:p>
    <w:p w14:paraId="1BF08A5A" w14:textId="77777777" w:rsidR="0093611F" w:rsidRPr="00E41665" w:rsidRDefault="0093611F" w:rsidP="004533AB">
      <w:pPr>
        <w:rPr>
          <w:bCs/>
          <w:lang w:eastAsia="en-GB"/>
        </w:rPr>
      </w:pPr>
    </w:p>
    <w:p w14:paraId="5709FEE4" w14:textId="3A26A7E1" w:rsidR="0093611F" w:rsidRPr="00E41665" w:rsidRDefault="0093611F" w:rsidP="004533AB">
      <w:pPr>
        <w:rPr>
          <w:bCs/>
          <w:lang w:eastAsia="en-GB"/>
        </w:rPr>
      </w:pPr>
      <w:r w:rsidRPr="00E41665">
        <w:rPr>
          <w:bCs/>
          <w:lang w:eastAsia="en-GB"/>
        </w:rPr>
        <w:tab/>
        <w:t xml:space="preserve">"We have begun to use the CFVI rather than ECC to move from </w:t>
      </w:r>
      <w:r w:rsidRPr="00E41665">
        <w:rPr>
          <w:bCs/>
          <w:lang w:eastAsia="en-GB"/>
        </w:rPr>
        <w:tab/>
        <w:t xml:space="preserve">assessment to programme </w:t>
      </w:r>
      <w:r w:rsidR="00236A7D" w:rsidRPr="00E41665">
        <w:rPr>
          <w:bCs/>
          <w:lang w:eastAsia="en-GB"/>
        </w:rPr>
        <w:t>planning</w:t>
      </w:r>
      <w:r w:rsidRPr="00E41665">
        <w:rPr>
          <w:bCs/>
          <w:lang w:eastAsia="en-GB"/>
        </w:rPr>
        <w:t xml:space="preserve"> to delivery (in a plan, </w:t>
      </w:r>
      <w:r w:rsidR="009B1454" w:rsidRPr="00E41665">
        <w:rPr>
          <w:bCs/>
          <w:lang w:eastAsia="en-GB"/>
        </w:rPr>
        <w:t>do</w:t>
      </w:r>
      <w:r w:rsidR="009B1454">
        <w:rPr>
          <w:bCs/>
          <w:lang w:eastAsia="en-GB"/>
        </w:rPr>
        <w:t xml:space="preserve">, </w:t>
      </w:r>
      <w:r w:rsidR="009B1454" w:rsidRPr="00E41665">
        <w:rPr>
          <w:bCs/>
          <w:lang w:eastAsia="en-GB"/>
        </w:rPr>
        <w:tab/>
      </w:r>
      <w:r w:rsidRPr="00E41665">
        <w:rPr>
          <w:bCs/>
          <w:lang w:eastAsia="en-GB"/>
        </w:rPr>
        <w:t xml:space="preserve">review cycle). We have also started on resources for staff to use </w:t>
      </w:r>
      <w:r w:rsidRPr="00E41665">
        <w:rPr>
          <w:bCs/>
          <w:lang w:eastAsia="en-GB"/>
        </w:rPr>
        <w:tab/>
        <w:t>under CFVI headings."</w:t>
      </w:r>
    </w:p>
    <w:p w14:paraId="34002765" w14:textId="77777777" w:rsidR="0028061E" w:rsidRPr="00E41665" w:rsidRDefault="0028061E" w:rsidP="004533AB">
      <w:pPr>
        <w:rPr>
          <w:bCs/>
          <w:lang w:eastAsia="en-GB"/>
        </w:rPr>
      </w:pPr>
    </w:p>
    <w:p w14:paraId="2352F876" w14:textId="260CC457" w:rsidR="0028061E" w:rsidRPr="00E41665" w:rsidRDefault="00D7543C" w:rsidP="004533AB">
      <w:pPr>
        <w:rPr>
          <w:bCs/>
          <w:lang w:eastAsia="en-GB"/>
        </w:rPr>
      </w:pPr>
      <w:r w:rsidRPr="00E41665">
        <w:rPr>
          <w:bCs/>
          <w:lang w:eastAsia="en-GB"/>
        </w:rPr>
        <w:tab/>
        <w:t xml:space="preserve">"We have the CFVI as one of our service </w:t>
      </w:r>
      <w:r w:rsidR="00236A7D" w:rsidRPr="00E41665">
        <w:rPr>
          <w:bCs/>
          <w:lang w:eastAsia="en-GB"/>
        </w:rPr>
        <w:t>priorities</w:t>
      </w:r>
      <w:r w:rsidRPr="00E41665">
        <w:rPr>
          <w:bCs/>
          <w:lang w:eastAsia="en-GB"/>
        </w:rPr>
        <w:t xml:space="preserve"> and looking at </w:t>
      </w:r>
      <w:r w:rsidRPr="00E41665">
        <w:rPr>
          <w:bCs/>
          <w:lang w:eastAsia="en-GB"/>
        </w:rPr>
        <w:tab/>
        <w:t>developing training sessions for schools with high need CYPVI."</w:t>
      </w:r>
    </w:p>
    <w:p w14:paraId="75776BFB" w14:textId="77777777" w:rsidR="00DD138E" w:rsidRPr="00E41665" w:rsidRDefault="00DD138E" w:rsidP="00DD138E">
      <w:pPr>
        <w:rPr>
          <w:bCs/>
          <w:lang w:eastAsia="en-GB"/>
        </w:rPr>
      </w:pPr>
    </w:p>
    <w:p w14:paraId="0FD9D714" w14:textId="4F929C14" w:rsidR="00B22D8F" w:rsidRPr="00E41665" w:rsidRDefault="00DD138E" w:rsidP="00692682">
      <w:pPr>
        <w:rPr>
          <w:bCs/>
          <w:lang w:eastAsia="en-GB"/>
        </w:rPr>
      </w:pPr>
      <w:r w:rsidRPr="00E41665">
        <w:rPr>
          <w:bCs/>
          <w:lang w:eastAsia="en-GB"/>
        </w:rPr>
        <w:t xml:space="preserve">For those who said yes, we asked if they had any active involvement with the </w:t>
      </w:r>
      <w:r w:rsidR="00AB1B8B">
        <w:rPr>
          <w:bCs/>
          <w:lang w:eastAsia="en-GB"/>
        </w:rPr>
        <w:t xml:space="preserve">development of the </w:t>
      </w:r>
      <w:r w:rsidRPr="00E41665">
        <w:rPr>
          <w:bCs/>
          <w:lang w:eastAsia="en-GB"/>
        </w:rPr>
        <w:t>CFVI</w:t>
      </w:r>
      <w:r w:rsidR="006D5906">
        <w:rPr>
          <w:bCs/>
          <w:lang w:eastAsia="en-GB"/>
        </w:rPr>
        <w:t>,</w:t>
      </w:r>
      <w:r w:rsidRPr="00E41665">
        <w:rPr>
          <w:bCs/>
          <w:lang w:eastAsia="en-GB"/>
        </w:rPr>
        <w:t xml:space="preserve"> </w:t>
      </w:r>
      <w:r w:rsidR="009E0805" w:rsidRPr="00E41665">
        <w:rPr>
          <w:bCs/>
          <w:lang w:eastAsia="en-GB"/>
        </w:rPr>
        <w:t>11</w:t>
      </w:r>
      <w:r w:rsidR="00E94383">
        <w:rPr>
          <w:bCs/>
          <w:lang w:eastAsia="en-GB"/>
        </w:rPr>
        <w:t xml:space="preserve"> per cent</w:t>
      </w:r>
      <w:r w:rsidR="009E0805" w:rsidRPr="00E41665">
        <w:rPr>
          <w:bCs/>
          <w:lang w:eastAsia="en-GB"/>
        </w:rPr>
        <w:t xml:space="preserve"> </w:t>
      </w:r>
      <w:r w:rsidR="00EF2AAC">
        <w:rPr>
          <w:bCs/>
          <w:lang w:eastAsia="en-GB"/>
        </w:rPr>
        <w:t>participated</w:t>
      </w:r>
      <w:r w:rsidR="009E0805" w:rsidRPr="00E41665">
        <w:rPr>
          <w:bCs/>
          <w:lang w:eastAsia="en-GB"/>
        </w:rPr>
        <w:t xml:space="preserve"> in consultation, 10</w:t>
      </w:r>
      <w:r w:rsidR="00E94383">
        <w:rPr>
          <w:bCs/>
          <w:lang w:eastAsia="en-GB"/>
        </w:rPr>
        <w:t xml:space="preserve"> per cent</w:t>
      </w:r>
      <w:r w:rsidR="009E0805" w:rsidRPr="00E41665">
        <w:rPr>
          <w:bCs/>
          <w:lang w:eastAsia="en-GB"/>
        </w:rPr>
        <w:t xml:space="preserve"> said </w:t>
      </w:r>
      <w:r w:rsidRPr="00E41665">
        <w:rPr>
          <w:bCs/>
          <w:lang w:eastAsia="en-GB"/>
        </w:rPr>
        <w:t xml:space="preserve">they were resource providers, </w:t>
      </w:r>
      <w:r w:rsidR="00E94383">
        <w:rPr>
          <w:bCs/>
          <w:lang w:eastAsia="en-GB"/>
        </w:rPr>
        <w:t>five per cent</w:t>
      </w:r>
      <w:r w:rsidRPr="00E41665">
        <w:rPr>
          <w:bCs/>
          <w:lang w:eastAsia="en-GB"/>
        </w:rPr>
        <w:t xml:space="preserve"> were reference group members</w:t>
      </w:r>
      <w:r w:rsidR="00674D42" w:rsidRPr="00E41665">
        <w:rPr>
          <w:bCs/>
          <w:lang w:eastAsia="en-GB"/>
        </w:rPr>
        <w:t xml:space="preserve"> and </w:t>
      </w:r>
      <w:r w:rsidR="00E94383">
        <w:rPr>
          <w:bCs/>
          <w:lang w:eastAsia="en-GB"/>
        </w:rPr>
        <w:t>four per cent</w:t>
      </w:r>
      <w:r w:rsidR="00674D42" w:rsidRPr="00E41665">
        <w:rPr>
          <w:bCs/>
          <w:lang w:eastAsia="en-GB"/>
        </w:rPr>
        <w:t xml:space="preserve"> said they were</w:t>
      </w:r>
      <w:r w:rsidR="009B35DE" w:rsidRPr="00E41665">
        <w:rPr>
          <w:bCs/>
          <w:lang w:eastAsia="en-GB"/>
        </w:rPr>
        <w:t xml:space="preserve"> resource reviewers. </w:t>
      </w:r>
    </w:p>
    <w:p w14:paraId="33154652" w14:textId="77777777" w:rsidR="005F4CCD" w:rsidRDefault="005F4CCD" w:rsidP="00692682"/>
    <w:p w14:paraId="27C3D86E" w14:textId="77777777" w:rsidR="005F4CCD" w:rsidRPr="00E41665" w:rsidRDefault="005F4CCD" w:rsidP="00692682"/>
    <w:p w14:paraId="3CEE3886" w14:textId="2599F047" w:rsidR="00E54A13" w:rsidRPr="00E41665" w:rsidRDefault="00E54A13">
      <w:pPr>
        <w:pStyle w:val="Heading1"/>
        <w:ind w:left="709" w:hanging="709"/>
        <w:rPr>
          <w:sz w:val="36"/>
          <w:szCs w:val="36"/>
        </w:rPr>
      </w:pPr>
      <w:bookmarkStart w:id="117" w:name="_Toc125543658"/>
      <w:bookmarkStart w:id="118" w:name="_Toc129775449"/>
      <w:r w:rsidRPr="00E41665">
        <w:rPr>
          <w:sz w:val="36"/>
          <w:szCs w:val="36"/>
        </w:rPr>
        <w:t>Conclusion</w:t>
      </w:r>
      <w:bookmarkEnd w:id="117"/>
      <w:bookmarkEnd w:id="118"/>
    </w:p>
    <w:p w14:paraId="6EA915AF" w14:textId="741B0F5C" w:rsidR="00685189" w:rsidRPr="00E41665" w:rsidRDefault="00C243A5" w:rsidP="003455DE">
      <w:pPr>
        <w:spacing w:before="240"/>
        <w:rPr>
          <w:lang w:eastAsia="en-GB"/>
        </w:rPr>
      </w:pPr>
      <w:r w:rsidRPr="00C243A5">
        <w:rPr>
          <w:lang w:eastAsia="en-GB"/>
        </w:rPr>
        <w:t>Specialist support for children and young people with VI is vital, and there is clear evidence that this service has become increasingly under-resourced in recent years.</w:t>
      </w:r>
      <w:r w:rsidR="003E40F7">
        <w:rPr>
          <w:lang w:eastAsia="en-GB"/>
        </w:rPr>
        <w:t xml:space="preserve"> </w:t>
      </w:r>
      <w:r w:rsidR="00504BB5">
        <w:rPr>
          <w:lang w:eastAsia="en-GB"/>
        </w:rPr>
        <w:t>Unfortunately, t</w:t>
      </w:r>
      <w:r w:rsidR="003E40F7">
        <w:rPr>
          <w:lang w:eastAsia="en-GB"/>
        </w:rPr>
        <w:t>he latest data confirms this</w:t>
      </w:r>
      <w:r w:rsidR="00504BB5">
        <w:rPr>
          <w:lang w:eastAsia="en-GB"/>
        </w:rPr>
        <w:t xml:space="preserve"> trend.</w:t>
      </w:r>
    </w:p>
    <w:p w14:paraId="6DD43F15" w14:textId="77777777" w:rsidR="00EF0FFB" w:rsidRPr="00E41665" w:rsidRDefault="00EF0FFB" w:rsidP="00EA485A">
      <w:pPr>
        <w:rPr>
          <w:lang w:eastAsia="en-GB"/>
        </w:rPr>
      </w:pPr>
    </w:p>
    <w:p w14:paraId="041B4855" w14:textId="186436AB" w:rsidR="00A6153E" w:rsidRPr="00AB130F" w:rsidRDefault="00AB130F" w:rsidP="00A6153E">
      <w:pPr>
        <w:rPr>
          <w:lang w:eastAsia="en-GB"/>
        </w:rPr>
      </w:pPr>
      <w:r w:rsidRPr="00E41665">
        <w:rPr>
          <w:lang w:eastAsia="en-GB"/>
        </w:rPr>
        <w:t xml:space="preserve">To </w:t>
      </w:r>
      <w:r w:rsidR="00E04332">
        <w:rPr>
          <w:lang w:eastAsia="en-GB"/>
        </w:rPr>
        <w:t xml:space="preserve">ensure </w:t>
      </w:r>
      <w:r w:rsidR="00E04332" w:rsidRPr="00E04332">
        <w:rPr>
          <w:lang w:eastAsia="en-GB"/>
        </w:rPr>
        <w:t xml:space="preserve">that children and young people </w:t>
      </w:r>
      <w:r w:rsidR="00E04332">
        <w:rPr>
          <w:lang w:eastAsia="en-GB"/>
        </w:rPr>
        <w:t xml:space="preserve">with vision impairment </w:t>
      </w:r>
      <w:r w:rsidR="00E04332" w:rsidRPr="00E04332">
        <w:rPr>
          <w:lang w:eastAsia="en-GB"/>
        </w:rPr>
        <w:t>now, and in the future, can access the support they need to thrive</w:t>
      </w:r>
      <w:r w:rsidR="00E04332">
        <w:rPr>
          <w:lang w:eastAsia="en-GB"/>
        </w:rPr>
        <w:t xml:space="preserve"> </w:t>
      </w:r>
      <w:r w:rsidRPr="00E41665">
        <w:rPr>
          <w:lang w:eastAsia="en-GB"/>
        </w:rPr>
        <w:t xml:space="preserve">we are calling on </w:t>
      </w:r>
      <w:r w:rsidR="00B8362C">
        <w:rPr>
          <w:lang w:eastAsia="en-GB"/>
        </w:rPr>
        <w:t>Department for Education</w:t>
      </w:r>
      <w:r w:rsidR="00B8362C" w:rsidRPr="00E41665">
        <w:rPr>
          <w:lang w:eastAsia="en-GB"/>
        </w:rPr>
        <w:t xml:space="preserve"> </w:t>
      </w:r>
      <w:r w:rsidRPr="00E41665">
        <w:rPr>
          <w:lang w:eastAsia="en-GB"/>
        </w:rPr>
        <w:t>to:</w:t>
      </w:r>
    </w:p>
    <w:p w14:paraId="6512C279" w14:textId="446ADFA2" w:rsidR="00A6153E" w:rsidRDefault="00A6153E" w:rsidP="00301BAE"/>
    <w:p w14:paraId="69C097CC" w14:textId="1DC63373" w:rsidR="00F969B7" w:rsidRDefault="00F969B7">
      <w:pPr>
        <w:pStyle w:val="ListParagraph"/>
        <w:numPr>
          <w:ilvl w:val="0"/>
          <w:numId w:val="4"/>
        </w:numPr>
        <w:spacing w:after="120"/>
        <w:ind w:left="357" w:hanging="357"/>
        <w:contextualSpacing w:val="0"/>
      </w:pPr>
      <w:r w:rsidRPr="00F969B7">
        <w:t>Recognise and reference the Curriculum Framework for Children and Young People with Vision Impairment in SEND policies, guidance and documentation including any new SEND legislation.   </w:t>
      </w:r>
    </w:p>
    <w:p w14:paraId="4772E5F6" w14:textId="1EB8E71A" w:rsidR="00593E00" w:rsidRPr="002909FA" w:rsidRDefault="000C5BF2">
      <w:pPr>
        <w:pStyle w:val="ListParagraph"/>
        <w:numPr>
          <w:ilvl w:val="0"/>
          <w:numId w:val="4"/>
        </w:numPr>
        <w:spacing w:after="120"/>
        <w:ind w:left="357" w:hanging="357"/>
        <w:contextualSpacing w:val="0"/>
      </w:pPr>
      <w:r w:rsidRPr="000C5BF2">
        <w:rPr>
          <w:lang w:eastAsia="en-GB"/>
        </w:rPr>
        <w:t>Provide adequate and protected high needs funding for local authorities to deliver specialist education services which meet the needs of children and young people with VI from 0-25.</w:t>
      </w:r>
    </w:p>
    <w:p w14:paraId="45B26725" w14:textId="0C8E4287" w:rsidR="00D5384C" w:rsidRPr="001A2D1C" w:rsidRDefault="00D5384C">
      <w:pPr>
        <w:pStyle w:val="paragraph"/>
        <w:numPr>
          <w:ilvl w:val="0"/>
          <w:numId w:val="4"/>
        </w:numPr>
        <w:spacing w:before="0" w:beforeAutospacing="0" w:after="120" w:afterAutospacing="0"/>
        <w:ind w:left="357" w:hanging="357"/>
        <w:textAlignment w:val="baseline"/>
        <w:rPr>
          <w:rFonts w:ascii="Arial" w:hAnsi="Arial"/>
          <w:sz w:val="28"/>
          <w:szCs w:val="20"/>
        </w:rPr>
      </w:pPr>
      <w:r w:rsidRPr="001A2D1C">
        <w:rPr>
          <w:rFonts w:ascii="Arial" w:hAnsi="Arial"/>
          <w:sz w:val="28"/>
          <w:szCs w:val="20"/>
        </w:rPr>
        <w:t xml:space="preserve">Take immediate action to boost the numbers of Qualified Teachers for Vision Impairment (QTVI) and Registered Qualified Habilitation Specialists (RQHS). This should include a clear and </w:t>
      </w:r>
      <w:r w:rsidR="00EF2AAC" w:rsidRPr="001A2D1C">
        <w:rPr>
          <w:rFonts w:ascii="Arial" w:hAnsi="Arial"/>
          <w:sz w:val="28"/>
          <w:szCs w:val="20"/>
        </w:rPr>
        <w:t>fully funded</w:t>
      </w:r>
      <w:r w:rsidRPr="001A2D1C">
        <w:rPr>
          <w:rFonts w:ascii="Arial" w:hAnsi="Arial"/>
          <w:sz w:val="28"/>
          <w:szCs w:val="20"/>
        </w:rPr>
        <w:t xml:space="preserve"> plan of action to improve recruitment and opportunities to qualify into the profession.   </w:t>
      </w:r>
    </w:p>
    <w:p w14:paraId="070D5CBB" w14:textId="6626DD76" w:rsidR="00D7640C" w:rsidRPr="0074020C" w:rsidRDefault="00D5384C">
      <w:pPr>
        <w:pStyle w:val="paragraph"/>
        <w:numPr>
          <w:ilvl w:val="0"/>
          <w:numId w:val="4"/>
        </w:numPr>
        <w:spacing w:before="0" w:beforeAutospacing="0" w:after="120" w:afterAutospacing="0"/>
        <w:ind w:left="357" w:hanging="357"/>
        <w:textAlignment w:val="baseline"/>
      </w:pPr>
      <w:r w:rsidRPr="37BC32EF">
        <w:rPr>
          <w:rFonts w:ascii="Arial" w:hAnsi="Arial"/>
          <w:sz w:val="28"/>
          <w:szCs w:val="28"/>
        </w:rPr>
        <w:t>Support the skills development, and retention of the current workforce through investment in specialist training and career development opportunities. </w:t>
      </w:r>
    </w:p>
    <w:p w14:paraId="57EEDAD4" w14:textId="6626DD76" w:rsidR="0074020C" w:rsidRDefault="0074020C" w:rsidP="0074020C">
      <w:pPr>
        <w:pStyle w:val="paragraph"/>
        <w:spacing w:before="0" w:beforeAutospacing="0" w:after="0" w:afterAutospacing="0"/>
        <w:textAlignment w:val="baseline"/>
        <w:rPr>
          <w:rFonts w:ascii="Arial" w:hAnsi="Arial"/>
          <w:sz w:val="28"/>
          <w:szCs w:val="28"/>
        </w:rPr>
      </w:pPr>
    </w:p>
    <w:p w14:paraId="785198B9" w14:textId="6626DD76" w:rsidR="0074020C" w:rsidRDefault="0074020C" w:rsidP="0074020C">
      <w:pPr>
        <w:pStyle w:val="paragraph"/>
        <w:spacing w:before="0" w:beforeAutospacing="0" w:after="0" w:afterAutospacing="0"/>
        <w:textAlignment w:val="baseline"/>
        <w:rPr>
          <w:rFonts w:ascii="Arial" w:hAnsi="Arial"/>
          <w:sz w:val="28"/>
          <w:szCs w:val="28"/>
        </w:rPr>
      </w:pPr>
    </w:p>
    <w:p w14:paraId="51F8ECA2" w14:textId="6626DD76" w:rsidR="00AB100F" w:rsidRPr="009E74F1" w:rsidRDefault="00AB100F" w:rsidP="00CA384C"/>
    <w:sectPr w:rsidR="00AB100F" w:rsidRPr="009E74F1" w:rsidSect="00EC518C">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6"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570C" w14:textId="77777777" w:rsidR="00316DCC" w:rsidRDefault="00316DCC" w:rsidP="00DB35DB">
      <w:r>
        <w:separator/>
      </w:r>
    </w:p>
  </w:endnote>
  <w:endnote w:type="continuationSeparator" w:id="0">
    <w:p w14:paraId="4D46FE65" w14:textId="77777777" w:rsidR="00316DCC" w:rsidRDefault="00316DCC" w:rsidP="00DB35DB">
      <w:r>
        <w:continuationSeparator/>
      </w:r>
    </w:p>
  </w:endnote>
  <w:endnote w:type="continuationNotice" w:id="1">
    <w:p w14:paraId="3333B5E0" w14:textId="77777777" w:rsidR="00316DCC" w:rsidRDefault="00316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25A17"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58242"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D8A28B" id="Rectangle 1"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2486DFB" w14:textId="0FE4B1E5" w:rsidR="00301BAE" w:rsidRDefault="00DD1622" w:rsidP="00DB35DB">
    <w:pPr>
      <w:pStyle w:val="EndnoteText"/>
      <w:rPr>
        <w:b/>
      </w:rPr>
    </w:pPr>
    <w:r>
      <w:rPr>
        <w:b/>
      </w:rPr>
      <w:t>rnib.org.uk</w:t>
    </w: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58241"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3F70F" id="Rectangle 6" o:spid="_x0000_s1026" alt="Title: image 2 - Description: Pink seperation line" style="position:absolute;margin-left:0;margin-top:15.25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94D5" w14:textId="77777777" w:rsidR="00316DCC" w:rsidRDefault="00316DCC" w:rsidP="00DB35DB">
      <w:r>
        <w:separator/>
      </w:r>
    </w:p>
  </w:footnote>
  <w:footnote w:type="continuationSeparator" w:id="0">
    <w:p w14:paraId="3CD64AE8" w14:textId="77777777" w:rsidR="00316DCC" w:rsidRDefault="00316DCC" w:rsidP="00DB35DB">
      <w:r>
        <w:continuationSeparator/>
      </w:r>
    </w:p>
  </w:footnote>
  <w:footnote w:type="continuationNotice" w:id="1">
    <w:p w14:paraId="3BDC3520" w14:textId="77777777" w:rsidR="00316DCC" w:rsidRDefault="00316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EB3E" w14:textId="77777777" w:rsidR="00CA59E8" w:rsidRDefault="00CA59E8">
    <w:pPr>
      <w:pStyle w:val="Header"/>
      <w:jc w:val="right"/>
    </w:pPr>
  </w:p>
  <w:p w14:paraId="1FE0AC60" w14:textId="77777777" w:rsidR="00CA59E8" w:rsidRDefault="00CA59E8">
    <w:pPr>
      <w:pStyle w:val="Header"/>
      <w:jc w:val="right"/>
    </w:pPr>
  </w:p>
  <w:sdt>
    <w:sdtPr>
      <w:id w:val="11195631"/>
      <w:docPartObj>
        <w:docPartGallery w:val="Page Numbers (Top of Page)"/>
        <w:docPartUnique/>
      </w:docPartObj>
    </w:sdtPr>
    <w:sdtEndPr>
      <w:rPr>
        <w:noProof/>
      </w:rPr>
    </w:sdtEndPr>
    <w:sdtContent>
      <w:p w14:paraId="09159B27" w14:textId="726B77D2" w:rsidR="00CA59E8" w:rsidRDefault="00CA59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B57E8E" w14:textId="77777777" w:rsidR="00CA59E8" w:rsidRDefault="00CA5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5FA90E87" w:rsidR="00531E84" w:rsidRDefault="00531E84">
    <w:pPr>
      <w:pStyle w:val="Header"/>
    </w:pPr>
    <w:r w:rsidRPr="000449EE">
      <w:rPr>
        <w:noProof/>
        <w:sz w:val="12"/>
        <w:szCs w:val="12"/>
        <w:lang w:val="en-US"/>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2" name="Picture 2"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260BB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1F7234"/>
    <w:multiLevelType w:val="hybridMultilevel"/>
    <w:tmpl w:val="076E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778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A326D6B"/>
    <w:multiLevelType w:val="hybridMultilevel"/>
    <w:tmpl w:val="097A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7725550">
    <w:abstractNumId w:val="1"/>
  </w:num>
  <w:num w:numId="2" w16cid:durableId="1391462722">
    <w:abstractNumId w:val="1"/>
  </w:num>
  <w:num w:numId="3" w16cid:durableId="792095551">
    <w:abstractNumId w:val="0"/>
  </w:num>
  <w:num w:numId="4" w16cid:durableId="1588147774">
    <w:abstractNumId w:val="4"/>
  </w:num>
  <w:num w:numId="5" w16cid:durableId="859122101">
    <w:abstractNumId w:val="2"/>
  </w:num>
  <w:num w:numId="6" w16cid:durableId="17426715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17A8"/>
    <w:rsid w:val="000023F2"/>
    <w:rsid w:val="00004292"/>
    <w:rsid w:val="0000453A"/>
    <w:rsid w:val="00004FBD"/>
    <w:rsid w:val="00006A8E"/>
    <w:rsid w:val="0000759C"/>
    <w:rsid w:val="00007618"/>
    <w:rsid w:val="00010292"/>
    <w:rsid w:val="000119B8"/>
    <w:rsid w:val="00012005"/>
    <w:rsid w:val="0001235B"/>
    <w:rsid w:val="00012436"/>
    <w:rsid w:val="00014934"/>
    <w:rsid w:val="00015CD7"/>
    <w:rsid w:val="00016241"/>
    <w:rsid w:val="00017BA7"/>
    <w:rsid w:val="00017CB4"/>
    <w:rsid w:val="0002090E"/>
    <w:rsid w:val="000226A9"/>
    <w:rsid w:val="00022D72"/>
    <w:rsid w:val="00022F66"/>
    <w:rsid w:val="00024350"/>
    <w:rsid w:val="00024CBC"/>
    <w:rsid w:val="000251B4"/>
    <w:rsid w:val="00025FB6"/>
    <w:rsid w:val="0002665B"/>
    <w:rsid w:val="00030487"/>
    <w:rsid w:val="00030E55"/>
    <w:rsid w:val="00032CB7"/>
    <w:rsid w:val="00033CFF"/>
    <w:rsid w:val="00034717"/>
    <w:rsid w:val="000348B4"/>
    <w:rsid w:val="00034C99"/>
    <w:rsid w:val="000351EC"/>
    <w:rsid w:val="00037565"/>
    <w:rsid w:val="000379BA"/>
    <w:rsid w:val="0004067D"/>
    <w:rsid w:val="0004082B"/>
    <w:rsid w:val="00040ECD"/>
    <w:rsid w:val="000415ED"/>
    <w:rsid w:val="000433B3"/>
    <w:rsid w:val="00043ED0"/>
    <w:rsid w:val="000449EE"/>
    <w:rsid w:val="00045326"/>
    <w:rsid w:val="00045C78"/>
    <w:rsid w:val="00046631"/>
    <w:rsid w:val="00046E80"/>
    <w:rsid w:val="00050EB9"/>
    <w:rsid w:val="00051C98"/>
    <w:rsid w:val="000529CC"/>
    <w:rsid w:val="00052BB0"/>
    <w:rsid w:val="00054B74"/>
    <w:rsid w:val="00055DB5"/>
    <w:rsid w:val="00062B54"/>
    <w:rsid w:val="00062EF0"/>
    <w:rsid w:val="000635C5"/>
    <w:rsid w:val="00065610"/>
    <w:rsid w:val="00065662"/>
    <w:rsid w:val="0007588A"/>
    <w:rsid w:val="00081F49"/>
    <w:rsid w:val="00082716"/>
    <w:rsid w:val="00083D31"/>
    <w:rsid w:val="0008481C"/>
    <w:rsid w:val="0008563A"/>
    <w:rsid w:val="0008796A"/>
    <w:rsid w:val="000904EF"/>
    <w:rsid w:val="00095D60"/>
    <w:rsid w:val="000972BE"/>
    <w:rsid w:val="0009764A"/>
    <w:rsid w:val="00097C1D"/>
    <w:rsid w:val="000A0392"/>
    <w:rsid w:val="000A0A9E"/>
    <w:rsid w:val="000A0E71"/>
    <w:rsid w:val="000A1F3C"/>
    <w:rsid w:val="000A2724"/>
    <w:rsid w:val="000A463E"/>
    <w:rsid w:val="000A5FC5"/>
    <w:rsid w:val="000A64E2"/>
    <w:rsid w:val="000A694C"/>
    <w:rsid w:val="000A6F5A"/>
    <w:rsid w:val="000A71B7"/>
    <w:rsid w:val="000A7EC8"/>
    <w:rsid w:val="000B0966"/>
    <w:rsid w:val="000B312B"/>
    <w:rsid w:val="000B4E59"/>
    <w:rsid w:val="000C1206"/>
    <w:rsid w:val="000C41BE"/>
    <w:rsid w:val="000C4E67"/>
    <w:rsid w:val="000C510C"/>
    <w:rsid w:val="000C5BF2"/>
    <w:rsid w:val="000C659C"/>
    <w:rsid w:val="000C7082"/>
    <w:rsid w:val="000D0386"/>
    <w:rsid w:val="000D1853"/>
    <w:rsid w:val="000D2B0A"/>
    <w:rsid w:val="000D4231"/>
    <w:rsid w:val="000D4D56"/>
    <w:rsid w:val="000D5477"/>
    <w:rsid w:val="000D60B4"/>
    <w:rsid w:val="000E27A2"/>
    <w:rsid w:val="000E2844"/>
    <w:rsid w:val="000E3438"/>
    <w:rsid w:val="000E713F"/>
    <w:rsid w:val="000E7361"/>
    <w:rsid w:val="000F0C0F"/>
    <w:rsid w:val="000F1703"/>
    <w:rsid w:val="000F1BD0"/>
    <w:rsid w:val="000F2B3C"/>
    <w:rsid w:val="000F7C83"/>
    <w:rsid w:val="0010075E"/>
    <w:rsid w:val="00100F70"/>
    <w:rsid w:val="00101560"/>
    <w:rsid w:val="00102CB2"/>
    <w:rsid w:val="001047BE"/>
    <w:rsid w:val="001073D0"/>
    <w:rsid w:val="00110DED"/>
    <w:rsid w:val="001116CB"/>
    <w:rsid w:val="001127B3"/>
    <w:rsid w:val="00113A5F"/>
    <w:rsid w:val="00113D88"/>
    <w:rsid w:val="001157F7"/>
    <w:rsid w:val="00117A81"/>
    <w:rsid w:val="00120145"/>
    <w:rsid w:val="00120CBD"/>
    <w:rsid w:val="00121D39"/>
    <w:rsid w:val="0012434B"/>
    <w:rsid w:val="001260C9"/>
    <w:rsid w:val="00126C49"/>
    <w:rsid w:val="00127781"/>
    <w:rsid w:val="0013175E"/>
    <w:rsid w:val="001319AC"/>
    <w:rsid w:val="001329FB"/>
    <w:rsid w:val="00133481"/>
    <w:rsid w:val="001341C1"/>
    <w:rsid w:val="00135FC1"/>
    <w:rsid w:val="00136602"/>
    <w:rsid w:val="00136636"/>
    <w:rsid w:val="001401F5"/>
    <w:rsid w:val="001416AC"/>
    <w:rsid w:val="00141E98"/>
    <w:rsid w:val="00143E45"/>
    <w:rsid w:val="00144883"/>
    <w:rsid w:val="001455F6"/>
    <w:rsid w:val="0014655C"/>
    <w:rsid w:val="00147A24"/>
    <w:rsid w:val="00150462"/>
    <w:rsid w:val="00152766"/>
    <w:rsid w:val="00153EA5"/>
    <w:rsid w:val="001548A0"/>
    <w:rsid w:val="00155169"/>
    <w:rsid w:val="00155D80"/>
    <w:rsid w:val="001571E7"/>
    <w:rsid w:val="0015795F"/>
    <w:rsid w:val="00157C20"/>
    <w:rsid w:val="001604A6"/>
    <w:rsid w:val="001606BB"/>
    <w:rsid w:val="00161CBC"/>
    <w:rsid w:val="00162143"/>
    <w:rsid w:val="001644EF"/>
    <w:rsid w:val="00164A24"/>
    <w:rsid w:val="00166F6B"/>
    <w:rsid w:val="001678B5"/>
    <w:rsid w:val="00167963"/>
    <w:rsid w:val="00167A40"/>
    <w:rsid w:val="00167CE8"/>
    <w:rsid w:val="00171A37"/>
    <w:rsid w:val="00175059"/>
    <w:rsid w:val="0017544D"/>
    <w:rsid w:val="001760D6"/>
    <w:rsid w:val="001760F4"/>
    <w:rsid w:val="00180DEA"/>
    <w:rsid w:val="00180E85"/>
    <w:rsid w:val="001815C4"/>
    <w:rsid w:val="00183010"/>
    <w:rsid w:val="00183C2B"/>
    <w:rsid w:val="001862A7"/>
    <w:rsid w:val="00186EDC"/>
    <w:rsid w:val="00187F5D"/>
    <w:rsid w:val="00190DD2"/>
    <w:rsid w:val="00191B08"/>
    <w:rsid w:val="00192F54"/>
    <w:rsid w:val="00193473"/>
    <w:rsid w:val="00193FAC"/>
    <w:rsid w:val="001940D5"/>
    <w:rsid w:val="00196D6C"/>
    <w:rsid w:val="00196EF7"/>
    <w:rsid w:val="001A1476"/>
    <w:rsid w:val="001A2670"/>
    <w:rsid w:val="001A2D1C"/>
    <w:rsid w:val="001A4675"/>
    <w:rsid w:val="001A4858"/>
    <w:rsid w:val="001B3DCD"/>
    <w:rsid w:val="001B4225"/>
    <w:rsid w:val="001B575D"/>
    <w:rsid w:val="001B58D3"/>
    <w:rsid w:val="001B5F58"/>
    <w:rsid w:val="001B717E"/>
    <w:rsid w:val="001C1E74"/>
    <w:rsid w:val="001C1F07"/>
    <w:rsid w:val="001C2FBC"/>
    <w:rsid w:val="001C438E"/>
    <w:rsid w:val="001C49C1"/>
    <w:rsid w:val="001C5950"/>
    <w:rsid w:val="001C635D"/>
    <w:rsid w:val="001C7CB1"/>
    <w:rsid w:val="001C7DE4"/>
    <w:rsid w:val="001D0B71"/>
    <w:rsid w:val="001D0EE2"/>
    <w:rsid w:val="001D2942"/>
    <w:rsid w:val="001D2E3E"/>
    <w:rsid w:val="001D4418"/>
    <w:rsid w:val="001D4489"/>
    <w:rsid w:val="001D702D"/>
    <w:rsid w:val="001D74E7"/>
    <w:rsid w:val="001E3BF8"/>
    <w:rsid w:val="001E68E7"/>
    <w:rsid w:val="001F097D"/>
    <w:rsid w:val="001F2076"/>
    <w:rsid w:val="001F5829"/>
    <w:rsid w:val="001F5A44"/>
    <w:rsid w:val="001F5B78"/>
    <w:rsid w:val="001F6ADE"/>
    <w:rsid w:val="00201914"/>
    <w:rsid w:val="00201D55"/>
    <w:rsid w:val="00201DE2"/>
    <w:rsid w:val="0020310B"/>
    <w:rsid w:val="00204E89"/>
    <w:rsid w:val="002050C6"/>
    <w:rsid w:val="00205464"/>
    <w:rsid w:val="0020714A"/>
    <w:rsid w:val="00210A84"/>
    <w:rsid w:val="002115F0"/>
    <w:rsid w:val="002115FC"/>
    <w:rsid w:val="00216531"/>
    <w:rsid w:val="00221ADC"/>
    <w:rsid w:val="00221E18"/>
    <w:rsid w:val="002220A5"/>
    <w:rsid w:val="00223930"/>
    <w:rsid w:val="00223979"/>
    <w:rsid w:val="00224326"/>
    <w:rsid w:val="00224BBC"/>
    <w:rsid w:val="0022519E"/>
    <w:rsid w:val="0022618F"/>
    <w:rsid w:val="002269E0"/>
    <w:rsid w:val="00227425"/>
    <w:rsid w:val="002301E1"/>
    <w:rsid w:val="002323E4"/>
    <w:rsid w:val="0023249D"/>
    <w:rsid w:val="00234129"/>
    <w:rsid w:val="00234592"/>
    <w:rsid w:val="00236A7D"/>
    <w:rsid w:val="002402EF"/>
    <w:rsid w:val="002408EB"/>
    <w:rsid w:val="002409AE"/>
    <w:rsid w:val="00240BB4"/>
    <w:rsid w:val="002416D7"/>
    <w:rsid w:val="00241DF4"/>
    <w:rsid w:val="00242000"/>
    <w:rsid w:val="0024213D"/>
    <w:rsid w:val="0024255C"/>
    <w:rsid w:val="00244F7D"/>
    <w:rsid w:val="002451D1"/>
    <w:rsid w:val="002453B2"/>
    <w:rsid w:val="00245CD2"/>
    <w:rsid w:val="00245F9C"/>
    <w:rsid w:val="00246B40"/>
    <w:rsid w:val="00247560"/>
    <w:rsid w:val="00251414"/>
    <w:rsid w:val="0025159C"/>
    <w:rsid w:val="00251D0E"/>
    <w:rsid w:val="00252488"/>
    <w:rsid w:val="00252E9A"/>
    <w:rsid w:val="00255C74"/>
    <w:rsid w:val="0025639E"/>
    <w:rsid w:val="00256E91"/>
    <w:rsid w:val="00261BBD"/>
    <w:rsid w:val="002628FC"/>
    <w:rsid w:val="00263356"/>
    <w:rsid w:val="0026434D"/>
    <w:rsid w:val="00267879"/>
    <w:rsid w:val="0027306B"/>
    <w:rsid w:val="002730E9"/>
    <w:rsid w:val="00273631"/>
    <w:rsid w:val="002754E5"/>
    <w:rsid w:val="00275B5A"/>
    <w:rsid w:val="00277F9B"/>
    <w:rsid w:val="0028061E"/>
    <w:rsid w:val="002812E9"/>
    <w:rsid w:val="00281491"/>
    <w:rsid w:val="00282C42"/>
    <w:rsid w:val="002834F4"/>
    <w:rsid w:val="002840E2"/>
    <w:rsid w:val="0028457E"/>
    <w:rsid w:val="00287E1C"/>
    <w:rsid w:val="00287FD2"/>
    <w:rsid w:val="002909FA"/>
    <w:rsid w:val="00290A89"/>
    <w:rsid w:val="00292CD7"/>
    <w:rsid w:val="002930AD"/>
    <w:rsid w:val="00293B9B"/>
    <w:rsid w:val="002942AA"/>
    <w:rsid w:val="00294743"/>
    <w:rsid w:val="00294C51"/>
    <w:rsid w:val="0029732F"/>
    <w:rsid w:val="002A040A"/>
    <w:rsid w:val="002A1BFF"/>
    <w:rsid w:val="002A3E96"/>
    <w:rsid w:val="002A4D77"/>
    <w:rsid w:val="002A55C6"/>
    <w:rsid w:val="002A7352"/>
    <w:rsid w:val="002B19C5"/>
    <w:rsid w:val="002B23AE"/>
    <w:rsid w:val="002B3996"/>
    <w:rsid w:val="002B4C49"/>
    <w:rsid w:val="002B62E7"/>
    <w:rsid w:val="002C118C"/>
    <w:rsid w:val="002C2FF3"/>
    <w:rsid w:val="002C30CA"/>
    <w:rsid w:val="002C312C"/>
    <w:rsid w:val="002C4A84"/>
    <w:rsid w:val="002C5CD3"/>
    <w:rsid w:val="002D1A29"/>
    <w:rsid w:val="002D1F8C"/>
    <w:rsid w:val="002D3510"/>
    <w:rsid w:val="002D5D27"/>
    <w:rsid w:val="002D7414"/>
    <w:rsid w:val="002D7999"/>
    <w:rsid w:val="002D7FF9"/>
    <w:rsid w:val="002E026B"/>
    <w:rsid w:val="002E10B5"/>
    <w:rsid w:val="002E1DFE"/>
    <w:rsid w:val="002E32C7"/>
    <w:rsid w:val="002E4A21"/>
    <w:rsid w:val="002E5403"/>
    <w:rsid w:val="002E79B3"/>
    <w:rsid w:val="002E7E20"/>
    <w:rsid w:val="002F13ED"/>
    <w:rsid w:val="002F319A"/>
    <w:rsid w:val="002F4474"/>
    <w:rsid w:val="002F5DAB"/>
    <w:rsid w:val="00300AB7"/>
    <w:rsid w:val="00300D68"/>
    <w:rsid w:val="00300EC7"/>
    <w:rsid w:val="00301A17"/>
    <w:rsid w:val="00301BAE"/>
    <w:rsid w:val="00301CBA"/>
    <w:rsid w:val="00302D45"/>
    <w:rsid w:val="003034F6"/>
    <w:rsid w:val="00304140"/>
    <w:rsid w:val="003064BF"/>
    <w:rsid w:val="003074E8"/>
    <w:rsid w:val="00316201"/>
    <w:rsid w:val="003163AE"/>
    <w:rsid w:val="00316DCC"/>
    <w:rsid w:val="00317E1F"/>
    <w:rsid w:val="00320133"/>
    <w:rsid w:val="00320439"/>
    <w:rsid w:val="0032330C"/>
    <w:rsid w:val="00326916"/>
    <w:rsid w:val="003278E0"/>
    <w:rsid w:val="003307FA"/>
    <w:rsid w:val="003311BD"/>
    <w:rsid w:val="00331343"/>
    <w:rsid w:val="00334C4F"/>
    <w:rsid w:val="003365C5"/>
    <w:rsid w:val="00336CBB"/>
    <w:rsid w:val="00343A1D"/>
    <w:rsid w:val="00343C1C"/>
    <w:rsid w:val="00344EF1"/>
    <w:rsid w:val="003455DE"/>
    <w:rsid w:val="00352E4B"/>
    <w:rsid w:val="00354B4C"/>
    <w:rsid w:val="00355F54"/>
    <w:rsid w:val="003613AA"/>
    <w:rsid w:val="00362F5A"/>
    <w:rsid w:val="003634BE"/>
    <w:rsid w:val="003649C7"/>
    <w:rsid w:val="00367AD1"/>
    <w:rsid w:val="00370731"/>
    <w:rsid w:val="00375944"/>
    <w:rsid w:val="0037603F"/>
    <w:rsid w:val="003762A6"/>
    <w:rsid w:val="003770E6"/>
    <w:rsid w:val="003804FC"/>
    <w:rsid w:val="00380AEA"/>
    <w:rsid w:val="00381149"/>
    <w:rsid w:val="00382919"/>
    <w:rsid w:val="00385A3A"/>
    <w:rsid w:val="00386A7E"/>
    <w:rsid w:val="003873F4"/>
    <w:rsid w:val="00393068"/>
    <w:rsid w:val="00393BAD"/>
    <w:rsid w:val="003955E9"/>
    <w:rsid w:val="003964B8"/>
    <w:rsid w:val="00396B6B"/>
    <w:rsid w:val="00396F68"/>
    <w:rsid w:val="003A237D"/>
    <w:rsid w:val="003A2543"/>
    <w:rsid w:val="003A2B5E"/>
    <w:rsid w:val="003A3B8D"/>
    <w:rsid w:val="003A45F0"/>
    <w:rsid w:val="003A492D"/>
    <w:rsid w:val="003A522F"/>
    <w:rsid w:val="003A5BE8"/>
    <w:rsid w:val="003A6ADD"/>
    <w:rsid w:val="003A751B"/>
    <w:rsid w:val="003B1FA8"/>
    <w:rsid w:val="003B2E6D"/>
    <w:rsid w:val="003B5255"/>
    <w:rsid w:val="003B78E7"/>
    <w:rsid w:val="003B79FF"/>
    <w:rsid w:val="003C05B4"/>
    <w:rsid w:val="003C280C"/>
    <w:rsid w:val="003C2FC0"/>
    <w:rsid w:val="003C3FA5"/>
    <w:rsid w:val="003C5712"/>
    <w:rsid w:val="003C5A0E"/>
    <w:rsid w:val="003C6710"/>
    <w:rsid w:val="003C6F81"/>
    <w:rsid w:val="003D04F5"/>
    <w:rsid w:val="003D3C76"/>
    <w:rsid w:val="003D4C00"/>
    <w:rsid w:val="003D5671"/>
    <w:rsid w:val="003D7ACE"/>
    <w:rsid w:val="003E10F7"/>
    <w:rsid w:val="003E1B3D"/>
    <w:rsid w:val="003E219B"/>
    <w:rsid w:val="003E2C6F"/>
    <w:rsid w:val="003E40F7"/>
    <w:rsid w:val="003E50B2"/>
    <w:rsid w:val="003F1491"/>
    <w:rsid w:val="003F1D61"/>
    <w:rsid w:val="003F239A"/>
    <w:rsid w:val="003F2563"/>
    <w:rsid w:val="003F2D29"/>
    <w:rsid w:val="003F3B38"/>
    <w:rsid w:val="003F70FE"/>
    <w:rsid w:val="00402CC1"/>
    <w:rsid w:val="0040374C"/>
    <w:rsid w:val="0040499D"/>
    <w:rsid w:val="004049EF"/>
    <w:rsid w:val="00406BEC"/>
    <w:rsid w:val="0041031C"/>
    <w:rsid w:val="00411134"/>
    <w:rsid w:val="00414D90"/>
    <w:rsid w:val="004154EC"/>
    <w:rsid w:val="004158A6"/>
    <w:rsid w:val="00421E77"/>
    <w:rsid w:val="004221D7"/>
    <w:rsid w:val="004261C4"/>
    <w:rsid w:val="004270F4"/>
    <w:rsid w:val="0043143F"/>
    <w:rsid w:val="00432548"/>
    <w:rsid w:val="004326CF"/>
    <w:rsid w:val="00432E45"/>
    <w:rsid w:val="004336A1"/>
    <w:rsid w:val="004336F0"/>
    <w:rsid w:val="004340B7"/>
    <w:rsid w:val="004349B1"/>
    <w:rsid w:val="004350B5"/>
    <w:rsid w:val="00440F19"/>
    <w:rsid w:val="00442E7F"/>
    <w:rsid w:val="00444123"/>
    <w:rsid w:val="00444F6D"/>
    <w:rsid w:val="00445CAB"/>
    <w:rsid w:val="00450CD3"/>
    <w:rsid w:val="00450D16"/>
    <w:rsid w:val="0045190C"/>
    <w:rsid w:val="00453142"/>
    <w:rsid w:val="004533AB"/>
    <w:rsid w:val="004539E5"/>
    <w:rsid w:val="00453B7A"/>
    <w:rsid w:val="00455460"/>
    <w:rsid w:val="00456993"/>
    <w:rsid w:val="00457A1A"/>
    <w:rsid w:val="00461E08"/>
    <w:rsid w:val="004636B4"/>
    <w:rsid w:val="0046422B"/>
    <w:rsid w:val="00464FCB"/>
    <w:rsid w:val="00466292"/>
    <w:rsid w:val="00471EE9"/>
    <w:rsid w:val="00473E32"/>
    <w:rsid w:val="00476967"/>
    <w:rsid w:val="00477F93"/>
    <w:rsid w:val="00481EC8"/>
    <w:rsid w:val="004866F7"/>
    <w:rsid w:val="00497AC2"/>
    <w:rsid w:val="004A01D0"/>
    <w:rsid w:val="004A0EBF"/>
    <w:rsid w:val="004A12C0"/>
    <w:rsid w:val="004A2F15"/>
    <w:rsid w:val="004A3741"/>
    <w:rsid w:val="004A45F5"/>
    <w:rsid w:val="004A56CD"/>
    <w:rsid w:val="004A59F3"/>
    <w:rsid w:val="004A65B7"/>
    <w:rsid w:val="004B1739"/>
    <w:rsid w:val="004B1E2D"/>
    <w:rsid w:val="004B2769"/>
    <w:rsid w:val="004B31E6"/>
    <w:rsid w:val="004B3690"/>
    <w:rsid w:val="004B45FD"/>
    <w:rsid w:val="004B4DCE"/>
    <w:rsid w:val="004B552C"/>
    <w:rsid w:val="004B7B4D"/>
    <w:rsid w:val="004C08CD"/>
    <w:rsid w:val="004C10D8"/>
    <w:rsid w:val="004C17B4"/>
    <w:rsid w:val="004C1849"/>
    <w:rsid w:val="004C1C2A"/>
    <w:rsid w:val="004C450E"/>
    <w:rsid w:val="004C45E0"/>
    <w:rsid w:val="004C5D6E"/>
    <w:rsid w:val="004C7A32"/>
    <w:rsid w:val="004D0575"/>
    <w:rsid w:val="004D182F"/>
    <w:rsid w:val="004D3218"/>
    <w:rsid w:val="004D4BC4"/>
    <w:rsid w:val="004D4EA0"/>
    <w:rsid w:val="004D5F95"/>
    <w:rsid w:val="004D6272"/>
    <w:rsid w:val="004D77E0"/>
    <w:rsid w:val="004E6622"/>
    <w:rsid w:val="004E68BE"/>
    <w:rsid w:val="004E6E0C"/>
    <w:rsid w:val="004E7052"/>
    <w:rsid w:val="004F08F4"/>
    <w:rsid w:val="004F0A9B"/>
    <w:rsid w:val="004F13CA"/>
    <w:rsid w:val="004F231B"/>
    <w:rsid w:val="004F4191"/>
    <w:rsid w:val="004F4790"/>
    <w:rsid w:val="004F4F2A"/>
    <w:rsid w:val="00502B55"/>
    <w:rsid w:val="00504758"/>
    <w:rsid w:val="00504BB5"/>
    <w:rsid w:val="005052BE"/>
    <w:rsid w:val="00505A82"/>
    <w:rsid w:val="00506268"/>
    <w:rsid w:val="00510A7B"/>
    <w:rsid w:val="00511611"/>
    <w:rsid w:val="00512B2D"/>
    <w:rsid w:val="00512F3F"/>
    <w:rsid w:val="00514475"/>
    <w:rsid w:val="00515476"/>
    <w:rsid w:val="005164C3"/>
    <w:rsid w:val="00520425"/>
    <w:rsid w:val="00521EDD"/>
    <w:rsid w:val="005232A2"/>
    <w:rsid w:val="00523504"/>
    <w:rsid w:val="0052515A"/>
    <w:rsid w:val="005260C4"/>
    <w:rsid w:val="00526E73"/>
    <w:rsid w:val="00531E84"/>
    <w:rsid w:val="00533EA7"/>
    <w:rsid w:val="00537E93"/>
    <w:rsid w:val="00540408"/>
    <w:rsid w:val="00540B88"/>
    <w:rsid w:val="00540E03"/>
    <w:rsid w:val="005414E1"/>
    <w:rsid w:val="00541D44"/>
    <w:rsid w:val="0054275C"/>
    <w:rsid w:val="005438C6"/>
    <w:rsid w:val="005439B8"/>
    <w:rsid w:val="00544326"/>
    <w:rsid w:val="00544C6F"/>
    <w:rsid w:val="0054780A"/>
    <w:rsid w:val="00547A05"/>
    <w:rsid w:val="00550F70"/>
    <w:rsid w:val="00552411"/>
    <w:rsid w:val="00555800"/>
    <w:rsid w:val="005605BE"/>
    <w:rsid w:val="0056179F"/>
    <w:rsid w:val="00562B70"/>
    <w:rsid w:val="00563F0C"/>
    <w:rsid w:val="00564065"/>
    <w:rsid w:val="00565037"/>
    <w:rsid w:val="00565775"/>
    <w:rsid w:val="005659CE"/>
    <w:rsid w:val="00567013"/>
    <w:rsid w:val="005675AE"/>
    <w:rsid w:val="00570264"/>
    <w:rsid w:val="005720DB"/>
    <w:rsid w:val="0057239D"/>
    <w:rsid w:val="00574966"/>
    <w:rsid w:val="00575E67"/>
    <w:rsid w:val="0057629F"/>
    <w:rsid w:val="005775BC"/>
    <w:rsid w:val="0058067C"/>
    <w:rsid w:val="00580E7E"/>
    <w:rsid w:val="00581845"/>
    <w:rsid w:val="005826BA"/>
    <w:rsid w:val="00582A7C"/>
    <w:rsid w:val="0058410F"/>
    <w:rsid w:val="00584B18"/>
    <w:rsid w:val="00585FC7"/>
    <w:rsid w:val="00592978"/>
    <w:rsid w:val="005934EC"/>
    <w:rsid w:val="00593E00"/>
    <w:rsid w:val="00594B6B"/>
    <w:rsid w:val="00594CC1"/>
    <w:rsid w:val="0059555F"/>
    <w:rsid w:val="005972A1"/>
    <w:rsid w:val="005A20B5"/>
    <w:rsid w:val="005A23EB"/>
    <w:rsid w:val="005A254E"/>
    <w:rsid w:val="005A3A88"/>
    <w:rsid w:val="005A64F5"/>
    <w:rsid w:val="005A67FA"/>
    <w:rsid w:val="005B024C"/>
    <w:rsid w:val="005B30C5"/>
    <w:rsid w:val="005B52C1"/>
    <w:rsid w:val="005B5D4C"/>
    <w:rsid w:val="005B65A1"/>
    <w:rsid w:val="005B6B3B"/>
    <w:rsid w:val="005B7883"/>
    <w:rsid w:val="005B7948"/>
    <w:rsid w:val="005C0A57"/>
    <w:rsid w:val="005C0C08"/>
    <w:rsid w:val="005C14F0"/>
    <w:rsid w:val="005C2455"/>
    <w:rsid w:val="005C31F8"/>
    <w:rsid w:val="005C37B2"/>
    <w:rsid w:val="005C3823"/>
    <w:rsid w:val="005C429B"/>
    <w:rsid w:val="005D17A1"/>
    <w:rsid w:val="005D17B8"/>
    <w:rsid w:val="005D4A17"/>
    <w:rsid w:val="005D765F"/>
    <w:rsid w:val="005D7E32"/>
    <w:rsid w:val="005E21D7"/>
    <w:rsid w:val="005F02BE"/>
    <w:rsid w:val="005F4CCD"/>
    <w:rsid w:val="005F5066"/>
    <w:rsid w:val="005F74A5"/>
    <w:rsid w:val="00600DFE"/>
    <w:rsid w:val="006014EA"/>
    <w:rsid w:val="00602B08"/>
    <w:rsid w:val="00603A8D"/>
    <w:rsid w:val="00604E9A"/>
    <w:rsid w:val="006074BA"/>
    <w:rsid w:val="006075B5"/>
    <w:rsid w:val="00610484"/>
    <w:rsid w:val="00610724"/>
    <w:rsid w:val="00612CB2"/>
    <w:rsid w:val="0061427F"/>
    <w:rsid w:val="00614EF4"/>
    <w:rsid w:val="00615E1F"/>
    <w:rsid w:val="006176ED"/>
    <w:rsid w:val="006220C8"/>
    <w:rsid w:val="006226B0"/>
    <w:rsid w:val="00623B0A"/>
    <w:rsid w:val="0062527F"/>
    <w:rsid w:val="00631128"/>
    <w:rsid w:val="006321E5"/>
    <w:rsid w:val="006370BB"/>
    <w:rsid w:val="006417D3"/>
    <w:rsid w:val="00643984"/>
    <w:rsid w:val="006442E8"/>
    <w:rsid w:val="00644E33"/>
    <w:rsid w:val="00646B8F"/>
    <w:rsid w:val="0064747E"/>
    <w:rsid w:val="0064779F"/>
    <w:rsid w:val="00647E85"/>
    <w:rsid w:val="00647FF9"/>
    <w:rsid w:val="00651FA8"/>
    <w:rsid w:val="006530E5"/>
    <w:rsid w:val="0065340D"/>
    <w:rsid w:val="00653554"/>
    <w:rsid w:val="006555FD"/>
    <w:rsid w:val="0065599E"/>
    <w:rsid w:val="006572FE"/>
    <w:rsid w:val="006603CA"/>
    <w:rsid w:val="006614F9"/>
    <w:rsid w:val="0066150A"/>
    <w:rsid w:val="00662FDA"/>
    <w:rsid w:val="00665BAE"/>
    <w:rsid w:val="00666052"/>
    <w:rsid w:val="00671BC9"/>
    <w:rsid w:val="0067235C"/>
    <w:rsid w:val="006723E4"/>
    <w:rsid w:val="006749AA"/>
    <w:rsid w:val="00674D42"/>
    <w:rsid w:val="00675668"/>
    <w:rsid w:val="00677152"/>
    <w:rsid w:val="00680F71"/>
    <w:rsid w:val="0068228A"/>
    <w:rsid w:val="00684188"/>
    <w:rsid w:val="00685189"/>
    <w:rsid w:val="00685B42"/>
    <w:rsid w:val="00685BA5"/>
    <w:rsid w:val="006863EB"/>
    <w:rsid w:val="00692682"/>
    <w:rsid w:val="00692764"/>
    <w:rsid w:val="0069301B"/>
    <w:rsid w:val="00694B87"/>
    <w:rsid w:val="00695366"/>
    <w:rsid w:val="00696638"/>
    <w:rsid w:val="00696FBD"/>
    <w:rsid w:val="0069730F"/>
    <w:rsid w:val="006A04F2"/>
    <w:rsid w:val="006A1847"/>
    <w:rsid w:val="006A63DB"/>
    <w:rsid w:val="006B00C8"/>
    <w:rsid w:val="006B47F7"/>
    <w:rsid w:val="006B54A3"/>
    <w:rsid w:val="006B5C28"/>
    <w:rsid w:val="006B67B0"/>
    <w:rsid w:val="006B7159"/>
    <w:rsid w:val="006B7443"/>
    <w:rsid w:val="006C1A58"/>
    <w:rsid w:val="006C1D8D"/>
    <w:rsid w:val="006C26D3"/>
    <w:rsid w:val="006C37B1"/>
    <w:rsid w:val="006C5B16"/>
    <w:rsid w:val="006C5CC2"/>
    <w:rsid w:val="006D0959"/>
    <w:rsid w:val="006D0F3B"/>
    <w:rsid w:val="006D19E4"/>
    <w:rsid w:val="006D1B2D"/>
    <w:rsid w:val="006D2668"/>
    <w:rsid w:val="006D2929"/>
    <w:rsid w:val="006D34AA"/>
    <w:rsid w:val="006D5906"/>
    <w:rsid w:val="006D60BA"/>
    <w:rsid w:val="006D76E0"/>
    <w:rsid w:val="006D77AA"/>
    <w:rsid w:val="006E019A"/>
    <w:rsid w:val="006E1C32"/>
    <w:rsid w:val="006E3823"/>
    <w:rsid w:val="006E66E5"/>
    <w:rsid w:val="006E7576"/>
    <w:rsid w:val="006E7696"/>
    <w:rsid w:val="006F0853"/>
    <w:rsid w:val="006F0C5C"/>
    <w:rsid w:val="006F1634"/>
    <w:rsid w:val="006F3F2D"/>
    <w:rsid w:val="006F50D4"/>
    <w:rsid w:val="006F66AB"/>
    <w:rsid w:val="006F72CF"/>
    <w:rsid w:val="006F7F47"/>
    <w:rsid w:val="00706AF0"/>
    <w:rsid w:val="007072D6"/>
    <w:rsid w:val="007106EB"/>
    <w:rsid w:val="00711A7D"/>
    <w:rsid w:val="00711B08"/>
    <w:rsid w:val="00711FBB"/>
    <w:rsid w:val="00711FF4"/>
    <w:rsid w:val="00715CA3"/>
    <w:rsid w:val="007212DD"/>
    <w:rsid w:val="00722C46"/>
    <w:rsid w:val="00723180"/>
    <w:rsid w:val="00723A91"/>
    <w:rsid w:val="00726442"/>
    <w:rsid w:val="00726815"/>
    <w:rsid w:val="00727866"/>
    <w:rsid w:val="0073073D"/>
    <w:rsid w:val="00731BA4"/>
    <w:rsid w:val="00733A2B"/>
    <w:rsid w:val="00736A3C"/>
    <w:rsid w:val="0074020C"/>
    <w:rsid w:val="007402AD"/>
    <w:rsid w:val="00741882"/>
    <w:rsid w:val="00743E84"/>
    <w:rsid w:val="007440B6"/>
    <w:rsid w:val="007451AB"/>
    <w:rsid w:val="00745B7B"/>
    <w:rsid w:val="0074707E"/>
    <w:rsid w:val="00747147"/>
    <w:rsid w:val="00747B78"/>
    <w:rsid w:val="007512F3"/>
    <w:rsid w:val="007531C0"/>
    <w:rsid w:val="00753258"/>
    <w:rsid w:val="00755F45"/>
    <w:rsid w:val="00756122"/>
    <w:rsid w:val="00764ABE"/>
    <w:rsid w:val="00766FD1"/>
    <w:rsid w:val="007679CC"/>
    <w:rsid w:val="00767E7D"/>
    <w:rsid w:val="00771666"/>
    <w:rsid w:val="007769D5"/>
    <w:rsid w:val="00776CB7"/>
    <w:rsid w:val="00777F7B"/>
    <w:rsid w:val="00780691"/>
    <w:rsid w:val="00781669"/>
    <w:rsid w:val="007830CD"/>
    <w:rsid w:val="007861C6"/>
    <w:rsid w:val="0078625F"/>
    <w:rsid w:val="0078697B"/>
    <w:rsid w:val="00786E68"/>
    <w:rsid w:val="00787355"/>
    <w:rsid w:val="007910DE"/>
    <w:rsid w:val="007911BC"/>
    <w:rsid w:val="007944C4"/>
    <w:rsid w:val="0079485C"/>
    <w:rsid w:val="00795F19"/>
    <w:rsid w:val="007968DF"/>
    <w:rsid w:val="007A1F4E"/>
    <w:rsid w:val="007A2726"/>
    <w:rsid w:val="007A3DB1"/>
    <w:rsid w:val="007A4E0E"/>
    <w:rsid w:val="007A5046"/>
    <w:rsid w:val="007A5825"/>
    <w:rsid w:val="007A70D0"/>
    <w:rsid w:val="007A72D4"/>
    <w:rsid w:val="007A74BF"/>
    <w:rsid w:val="007A7805"/>
    <w:rsid w:val="007A7D32"/>
    <w:rsid w:val="007B0406"/>
    <w:rsid w:val="007B0559"/>
    <w:rsid w:val="007B245E"/>
    <w:rsid w:val="007B33F9"/>
    <w:rsid w:val="007B37B7"/>
    <w:rsid w:val="007B3FCD"/>
    <w:rsid w:val="007B4539"/>
    <w:rsid w:val="007B558C"/>
    <w:rsid w:val="007B7E74"/>
    <w:rsid w:val="007C0218"/>
    <w:rsid w:val="007C09D4"/>
    <w:rsid w:val="007C1362"/>
    <w:rsid w:val="007C1561"/>
    <w:rsid w:val="007C1689"/>
    <w:rsid w:val="007C1B4F"/>
    <w:rsid w:val="007C21A8"/>
    <w:rsid w:val="007C4BC7"/>
    <w:rsid w:val="007C4E18"/>
    <w:rsid w:val="007C6CBA"/>
    <w:rsid w:val="007C6F71"/>
    <w:rsid w:val="007D21B9"/>
    <w:rsid w:val="007D2763"/>
    <w:rsid w:val="007D418C"/>
    <w:rsid w:val="007D4309"/>
    <w:rsid w:val="007D755B"/>
    <w:rsid w:val="007E0DA1"/>
    <w:rsid w:val="007E0DF3"/>
    <w:rsid w:val="007E4535"/>
    <w:rsid w:val="007E651B"/>
    <w:rsid w:val="007F0BEE"/>
    <w:rsid w:val="007F3317"/>
    <w:rsid w:val="007F5363"/>
    <w:rsid w:val="007F5CAD"/>
    <w:rsid w:val="007F636A"/>
    <w:rsid w:val="007F72B6"/>
    <w:rsid w:val="007F79C9"/>
    <w:rsid w:val="008030B1"/>
    <w:rsid w:val="008039B5"/>
    <w:rsid w:val="00804DBE"/>
    <w:rsid w:val="008065DA"/>
    <w:rsid w:val="008069DD"/>
    <w:rsid w:val="00806DD3"/>
    <w:rsid w:val="0080748D"/>
    <w:rsid w:val="00807744"/>
    <w:rsid w:val="0081031F"/>
    <w:rsid w:val="0081258B"/>
    <w:rsid w:val="00813D05"/>
    <w:rsid w:val="008159D7"/>
    <w:rsid w:val="00817015"/>
    <w:rsid w:val="008206F4"/>
    <w:rsid w:val="008208A0"/>
    <w:rsid w:val="00821009"/>
    <w:rsid w:val="0082509B"/>
    <w:rsid w:val="008278DD"/>
    <w:rsid w:val="008304E5"/>
    <w:rsid w:val="0083159A"/>
    <w:rsid w:val="00833BDF"/>
    <w:rsid w:val="00833F82"/>
    <w:rsid w:val="0083441B"/>
    <w:rsid w:val="00835A1C"/>
    <w:rsid w:val="00835C3E"/>
    <w:rsid w:val="00836660"/>
    <w:rsid w:val="00840FF3"/>
    <w:rsid w:val="008434F3"/>
    <w:rsid w:val="00844FD8"/>
    <w:rsid w:val="00846513"/>
    <w:rsid w:val="00846F31"/>
    <w:rsid w:val="0084703C"/>
    <w:rsid w:val="00851197"/>
    <w:rsid w:val="00852A9D"/>
    <w:rsid w:val="00854EF5"/>
    <w:rsid w:val="00854EFB"/>
    <w:rsid w:val="00856DDD"/>
    <w:rsid w:val="00857803"/>
    <w:rsid w:val="008621A6"/>
    <w:rsid w:val="00863052"/>
    <w:rsid w:val="00863CC8"/>
    <w:rsid w:val="00863EA3"/>
    <w:rsid w:val="0086530D"/>
    <w:rsid w:val="00865A29"/>
    <w:rsid w:val="00867A68"/>
    <w:rsid w:val="00871F66"/>
    <w:rsid w:val="008722EF"/>
    <w:rsid w:val="0087248F"/>
    <w:rsid w:val="00874031"/>
    <w:rsid w:val="00874263"/>
    <w:rsid w:val="0087471B"/>
    <w:rsid w:val="00874940"/>
    <w:rsid w:val="00874B04"/>
    <w:rsid w:val="00874EA1"/>
    <w:rsid w:val="008753C5"/>
    <w:rsid w:val="008768E9"/>
    <w:rsid w:val="00876989"/>
    <w:rsid w:val="008803C0"/>
    <w:rsid w:val="00881611"/>
    <w:rsid w:val="0088165C"/>
    <w:rsid w:val="00881802"/>
    <w:rsid w:val="00881DA1"/>
    <w:rsid w:val="00882025"/>
    <w:rsid w:val="008842A3"/>
    <w:rsid w:val="0088615F"/>
    <w:rsid w:val="00890E58"/>
    <w:rsid w:val="00891A1F"/>
    <w:rsid w:val="0089242F"/>
    <w:rsid w:val="00896FD6"/>
    <w:rsid w:val="0089704A"/>
    <w:rsid w:val="00897D09"/>
    <w:rsid w:val="008A08A1"/>
    <w:rsid w:val="008A12AF"/>
    <w:rsid w:val="008A2A2B"/>
    <w:rsid w:val="008A3D1F"/>
    <w:rsid w:val="008A6156"/>
    <w:rsid w:val="008A774D"/>
    <w:rsid w:val="008B25FC"/>
    <w:rsid w:val="008B2DBC"/>
    <w:rsid w:val="008B4AF6"/>
    <w:rsid w:val="008B54B0"/>
    <w:rsid w:val="008B5A38"/>
    <w:rsid w:val="008B5E54"/>
    <w:rsid w:val="008C1048"/>
    <w:rsid w:val="008C34C0"/>
    <w:rsid w:val="008C37C1"/>
    <w:rsid w:val="008C400B"/>
    <w:rsid w:val="008C465C"/>
    <w:rsid w:val="008C5C29"/>
    <w:rsid w:val="008C6846"/>
    <w:rsid w:val="008C7467"/>
    <w:rsid w:val="008C7D8A"/>
    <w:rsid w:val="008C7DD6"/>
    <w:rsid w:val="008D1CA9"/>
    <w:rsid w:val="008D2765"/>
    <w:rsid w:val="008D3493"/>
    <w:rsid w:val="008D3A81"/>
    <w:rsid w:val="008D3CF4"/>
    <w:rsid w:val="008D49C6"/>
    <w:rsid w:val="008D5294"/>
    <w:rsid w:val="008D52BA"/>
    <w:rsid w:val="008D5567"/>
    <w:rsid w:val="008D60CF"/>
    <w:rsid w:val="008E033F"/>
    <w:rsid w:val="008E35C0"/>
    <w:rsid w:val="008E388A"/>
    <w:rsid w:val="008E3EB4"/>
    <w:rsid w:val="008E4456"/>
    <w:rsid w:val="008E4F70"/>
    <w:rsid w:val="008E605B"/>
    <w:rsid w:val="008F0373"/>
    <w:rsid w:val="008F4D15"/>
    <w:rsid w:val="008F6DE3"/>
    <w:rsid w:val="009008F4"/>
    <w:rsid w:val="00900EF1"/>
    <w:rsid w:val="00901501"/>
    <w:rsid w:val="00901521"/>
    <w:rsid w:val="00904896"/>
    <w:rsid w:val="00904D41"/>
    <w:rsid w:val="009053C3"/>
    <w:rsid w:val="009059D4"/>
    <w:rsid w:val="00912727"/>
    <w:rsid w:val="009177E8"/>
    <w:rsid w:val="00917DE4"/>
    <w:rsid w:val="009200F7"/>
    <w:rsid w:val="009202DE"/>
    <w:rsid w:val="00920D8A"/>
    <w:rsid w:val="0092236F"/>
    <w:rsid w:val="00923C01"/>
    <w:rsid w:val="0092472B"/>
    <w:rsid w:val="00926E7A"/>
    <w:rsid w:val="00927EE7"/>
    <w:rsid w:val="00934121"/>
    <w:rsid w:val="00935E41"/>
    <w:rsid w:val="0093611F"/>
    <w:rsid w:val="0094239C"/>
    <w:rsid w:val="0094345A"/>
    <w:rsid w:val="0094693E"/>
    <w:rsid w:val="00946AB3"/>
    <w:rsid w:val="0095024E"/>
    <w:rsid w:val="00954054"/>
    <w:rsid w:val="00954A0A"/>
    <w:rsid w:val="0095600F"/>
    <w:rsid w:val="00960272"/>
    <w:rsid w:val="0096088B"/>
    <w:rsid w:val="00961809"/>
    <w:rsid w:val="0096352B"/>
    <w:rsid w:val="009647DC"/>
    <w:rsid w:val="009665AB"/>
    <w:rsid w:val="0096730E"/>
    <w:rsid w:val="00971C31"/>
    <w:rsid w:val="00972B60"/>
    <w:rsid w:val="00973C64"/>
    <w:rsid w:val="00975FED"/>
    <w:rsid w:val="00976D7B"/>
    <w:rsid w:val="00976F58"/>
    <w:rsid w:val="00981881"/>
    <w:rsid w:val="009830F2"/>
    <w:rsid w:val="009875E6"/>
    <w:rsid w:val="00987748"/>
    <w:rsid w:val="00991AA0"/>
    <w:rsid w:val="00991C86"/>
    <w:rsid w:val="00992DDF"/>
    <w:rsid w:val="009942D6"/>
    <w:rsid w:val="00994BFF"/>
    <w:rsid w:val="00995C1A"/>
    <w:rsid w:val="009966BA"/>
    <w:rsid w:val="00996D23"/>
    <w:rsid w:val="009A0AB3"/>
    <w:rsid w:val="009A16B4"/>
    <w:rsid w:val="009A1E22"/>
    <w:rsid w:val="009A1EA6"/>
    <w:rsid w:val="009A1F7E"/>
    <w:rsid w:val="009A3295"/>
    <w:rsid w:val="009A7EAB"/>
    <w:rsid w:val="009B1454"/>
    <w:rsid w:val="009B24A3"/>
    <w:rsid w:val="009B2A15"/>
    <w:rsid w:val="009B35DE"/>
    <w:rsid w:val="009B3E38"/>
    <w:rsid w:val="009B6566"/>
    <w:rsid w:val="009C0667"/>
    <w:rsid w:val="009C1637"/>
    <w:rsid w:val="009C3B7B"/>
    <w:rsid w:val="009C3C9F"/>
    <w:rsid w:val="009C68BF"/>
    <w:rsid w:val="009C6DE3"/>
    <w:rsid w:val="009C6FA0"/>
    <w:rsid w:val="009C7836"/>
    <w:rsid w:val="009D37A6"/>
    <w:rsid w:val="009D496F"/>
    <w:rsid w:val="009D4B04"/>
    <w:rsid w:val="009D4CD7"/>
    <w:rsid w:val="009E0045"/>
    <w:rsid w:val="009E0805"/>
    <w:rsid w:val="009E0ED5"/>
    <w:rsid w:val="009E3751"/>
    <w:rsid w:val="009E3A5C"/>
    <w:rsid w:val="009E3B3F"/>
    <w:rsid w:val="009E74F1"/>
    <w:rsid w:val="009F0F7C"/>
    <w:rsid w:val="009F43C2"/>
    <w:rsid w:val="009F48E8"/>
    <w:rsid w:val="009F67A4"/>
    <w:rsid w:val="009F694F"/>
    <w:rsid w:val="00A017C0"/>
    <w:rsid w:val="00A01ADD"/>
    <w:rsid w:val="00A05F39"/>
    <w:rsid w:val="00A05FF3"/>
    <w:rsid w:val="00A0633A"/>
    <w:rsid w:val="00A063B1"/>
    <w:rsid w:val="00A06C93"/>
    <w:rsid w:val="00A074C2"/>
    <w:rsid w:val="00A138C7"/>
    <w:rsid w:val="00A1457D"/>
    <w:rsid w:val="00A163A4"/>
    <w:rsid w:val="00A177FA"/>
    <w:rsid w:val="00A2217A"/>
    <w:rsid w:val="00A27169"/>
    <w:rsid w:val="00A30457"/>
    <w:rsid w:val="00A313DD"/>
    <w:rsid w:val="00A340CC"/>
    <w:rsid w:val="00A3659C"/>
    <w:rsid w:val="00A36A7E"/>
    <w:rsid w:val="00A36AB4"/>
    <w:rsid w:val="00A36FC5"/>
    <w:rsid w:val="00A3784E"/>
    <w:rsid w:val="00A52C92"/>
    <w:rsid w:val="00A54C9D"/>
    <w:rsid w:val="00A54F30"/>
    <w:rsid w:val="00A5540C"/>
    <w:rsid w:val="00A57BF1"/>
    <w:rsid w:val="00A60071"/>
    <w:rsid w:val="00A60EF5"/>
    <w:rsid w:val="00A6153E"/>
    <w:rsid w:val="00A62318"/>
    <w:rsid w:val="00A6232A"/>
    <w:rsid w:val="00A64350"/>
    <w:rsid w:val="00A64797"/>
    <w:rsid w:val="00A64DF4"/>
    <w:rsid w:val="00A6528B"/>
    <w:rsid w:val="00A6559B"/>
    <w:rsid w:val="00A701AD"/>
    <w:rsid w:val="00A708D5"/>
    <w:rsid w:val="00A73D1E"/>
    <w:rsid w:val="00A756BE"/>
    <w:rsid w:val="00A76BAC"/>
    <w:rsid w:val="00A76E28"/>
    <w:rsid w:val="00A82453"/>
    <w:rsid w:val="00A82816"/>
    <w:rsid w:val="00A8379B"/>
    <w:rsid w:val="00A838A2"/>
    <w:rsid w:val="00A8756B"/>
    <w:rsid w:val="00A900DA"/>
    <w:rsid w:val="00A90659"/>
    <w:rsid w:val="00A92B1E"/>
    <w:rsid w:val="00A94D5B"/>
    <w:rsid w:val="00A979CA"/>
    <w:rsid w:val="00AA2337"/>
    <w:rsid w:val="00AA24B5"/>
    <w:rsid w:val="00AA52B5"/>
    <w:rsid w:val="00AA6AA4"/>
    <w:rsid w:val="00AA6F69"/>
    <w:rsid w:val="00AB100F"/>
    <w:rsid w:val="00AB1265"/>
    <w:rsid w:val="00AB130F"/>
    <w:rsid w:val="00AB1B8B"/>
    <w:rsid w:val="00AB23A3"/>
    <w:rsid w:val="00AB7BC3"/>
    <w:rsid w:val="00AC15C9"/>
    <w:rsid w:val="00AC17A0"/>
    <w:rsid w:val="00AC4E6A"/>
    <w:rsid w:val="00AC608B"/>
    <w:rsid w:val="00AC6DC6"/>
    <w:rsid w:val="00AC7546"/>
    <w:rsid w:val="00AD1194"/>
    <w:rsid w:val="00AD3102"/>
    <w:rsid w:val="00AD40AF"/>
    <w:rsid w:val="00AD410E"/>
    <w:rsid w:val="00AD7210"/>
    <w:rsid w:val="00AE4041"/>
    <w:rsid w:val="00AE4382"/>
    <w:rsid w:val="00AE4A9F"/>
    <w:rsid w:val="00AF2467"/>
    <w:rsid w:val="00AF466A"/>
    <w:rsid w:val="00B01BD5"/>
    <w:rsid w:val="00B0373D"/>
    <w:rsid w:val="00B04B50"/>
    <w:rsid w:val="00B050BA"/>
    <w:rsid w:val="00B05A51"/>
    <w:rsid w:val="00B06F55"/>
    <w:rsid w:val="00B07CF3"/>
    <w:rsid w:val="00B12EC2"/>
    <w:rsid w:val="00B13D51"/>
    <w:rsid w:val="00B156A9"/>
    <w:rsid w:val="00B159B5"/>
    <w:rsid w:val="00B15E16"/>
    <w:rsid w:val="00B211E9"/>
    <w:rsid w:val="00B22D8F"/>
    <w:rsid w:val="00B25972"/>
    <w:rsid w:val="00B25A94"/>
    <w:rsid w:val="00B27A69"/>
    <w:rsid w:val="00B27B91"/>
    <w:rsid w:val="00B316CF"/>
    <w:rsid w:val="00B31DC8"/>
    <w:rsid w:val="00B35CD6"/>
    <w:rsid w:val="00B3645E"/>
    <w:rsid w:val="00B37134"/>
    <w:rsid w:val="00B44C5E"/>
    <w:rsid w:val="00B44CE9"/>
    <w:rsid w:val="00B4552C"/>
    <w:rsid w:val="00B470BF"/>
    <w:rsid w:val="00B50765"/>
    <w:rsid w:val="00B524FA"/>
    <w:rsid w:val="00B55F30"/>
    <w:rsid w:val="00B57031"/>
    <w:rsid w:val="00B607E2"/>
    <w:rsid w:val="00B60FCE"/>
    <w:rsid w:val="00B6285F"/>
    <w:rsid w:val="00B62B33"/>
    <w:rsid w:val="00B64A93"/>
    <w:rsid w:val="00B66A29"/>
    <w:rsid w:val="00B70C09"/>
    <w:rsid w:val="00B733E7"/>
    <w:rsid w:val="00B73588"/>
    <w:rsid w:val="00B73E98"/>
    <w:rsid w:val="00B7436B"/>
    <w:rsid w:val="00B75CB3"/>
    <w:rsid w:val="00B76846"/>
    <w:rsid w:val="00B768E7"/>
    <w:rsid w:val="00B804D6"/>
    <w:rsid w:val="00B811EA"/>
    <w:rsid w:val="00B8211E"/>
    <w:rsid w:val="00B82DD2"/>
    <w:rsid w:val="00B8362C"/>
    <w:rsid w:val="00B8438C"/>
    <w:rsid w:val="00B84A26"/>
    <w:rsid w:val="00B87E1C"/>
    <w:rsid w:val="00B91E02"/>
    <w:rsid w:val="00B91E49"/>
    <w:rsid w:val="00B9280A"/>
    <w:rsid w:val="00B941D6"/>
    <w:rsid w:val="00B9563A"/>
    <w:rsid w:val="00B95CB9"/>
    <w:rsid w:val="00BA05C3"/>
    <w:rsid w:val="00BA06FE"/>
    <w:rsid w:val="00BA0833"/>
    <w:rsid w:val="00BA09A5"/>
    <w:rsid w:val="00BA0F66"/>
    <w:rsid w:val="00BA4C3C"/>
    <w:rsid w:val="00BA5351"/>
    <w:rsid w:val="00BA5D80"/>
    <w:rsid w:val="00BA7685"/>
    <w:rsid w:val="00BB14E1"/>
    <w:rsid w:val="00BB326A"/>
    <w:rsid w:val="00BB39C1"/>
    <w:rsid w:val="00BB3EC9"/>
    <w:rsid w:val="00BB495D"/>
    <w:rsid w:val="00BB5E4B"/>
    <w:rsid w:val="00BB6CC2"/>
    <w:rsid w:val="00BB6F46"/>
    <w:rsid w:val="00BB77E4"/>
    <w:rsid w:val="00BC05B6"/>
    <w:rsid w:val="00BC0A62"/>
    <w:rsid w:val="00BC130B"/>
    <w:rsid w:val="00BC15AE"/>
    <w:rsid w:val="00BC169F"/>
    <w:rsid w:val="00BC32CD"/>
    <w:rsid w:val="00BC3BD2"/>
    <w:rsid w:val="00BC440A"/>
    <w:rsid w:val="00BC456C"/>
    <w:rsid w:val="00BC5EA8"/>
    <w:rsid w:val="00BC6FC2"/>
    <w:rsid w:val="00BD00FE"/>
    <w:rsid w:val="00BD0738"/>
    <w:rsid w:val="00BD210F"/>
    <w:rsid w:val="00BD3038"/>
    <w:rsid w:val="00BD36D1"/>
    <w:rsid w:val="00BD5188"/>
    <w:rsid w:val="00BD56CD"/>
    <w:rsid w:val="00BD6952"/>
    <w:rsid w:val="00BD6A9E"/>
    <w:rsid w:val="00BD7866"/>
    <w:rsid w:val="00BE1F06"/>
    <w:rsid w:val="00BE366C"/>
    <w:rsid w:val="00BE3B8C"/>
    <w:rsid w:val="00BE58B7"/>
    <w:rsid w:val="00BE6FB2"/>
    <w:rsid w:val="00BE713F"/>
    <w:rsid w:val="00BF050E"/>
    <w:rsid w:val="00BF0F91"/>
    <w:rsid w:val="00BF21E7"/>
    <w:rsid w:val="00BF256A"/>
    <w:rsid w:val="00BF2DA8"/>
    <w:rsid w:val="00BF307A"/>
    <w:rsid w:val="00BF4844"/>
    <w:rsid w:val="00BF4A7D"/>
    <w:rsid w:val="00C02E8F"/>
    <w:rsid w:val="00C0330A"/>
    <w:rsid w:val="00C0476D"/>
    <w:rsid w:val="00C06DBA"/>
    <w:rsid w:val="00C12D74"/>
    <w:rsid w:val="00C14101"/>
    <w:rsid w:val="00C1718C"/>
    <w:rsid w:val="00C204B1"/>
    <w:rsid w:val="00C213F0"/>
    <w:rsid w:val="00C243A5"/>
    <w:rsid w:val="00C247A0"/>
    <w:rsid w:val="00C25119"/>
    <w:rsid w:val="00C25649"/>
    <w:rsid w:val="00C305A4"/>
    <w:rsid w:val="00C315AA"/>
    <w:rsid w:val="00C31A39"/>
    <w:rsid w:val="00C325C3"/>
    <w:rsid w:val="00C3350D"/>
    <w:rsid w:val="00C343AA"/>
    <w:rsid w:val="00C34C8C"/>
    <w:rsid w:val="00C355B6"/>
    <w:rsid w:val="00C35AE4"/>
    <w:rsid w:val="00C35C20"/>
    <w:rsid w:val="00C40AF4"/>
    <w:rsid w:val="00C41895"/>
    <w:rsid w:val="00C429D3"/>
    <w:rsid w:val="00C42D28"/>
    <w:rsid w:val="00C44699"/>
    <w:rsid w:val="00C45F9B"/>
    <w:rsid w:val="00C4618F"/>
    <w:rsid w:val="00C46732"/>
    <w:rsid w:val="00C471FF"/>
    <w:rsid w:val="00C47E13"/>
    <w:rsid w:val="00C50257"/>
    <w:rsid w:val="00C52BBC"/>
    <w:rsid w:val="00C53E69"/>
    <w:rsid w:val="00C5444C"/>
    <w:rsid w:val="00C54B11"/>
    <w:rsid w:val="00C553E0"/>
    <w:rsid w:val="00C572D0"/>
    <w:rsid w:val="00C606B4"/>
    <w:rsid w:val="00C63841"/>
    <w:rsid w:val="00C642A8"/>
    <w:rsid w:val="00C6504B"/>
    <w:rsid w:val="00C675BB"/>
    <w:rsid w:val="00C7212C"/>
    <w:rsid w:val="00C736A6"/>
    <w:rsid w:val="00C736E7"/>
    <w:rsid w:val="00C74543"/>
    <w:rsid w:val="00C75677"/>
    <w:rsid w:val="00C76F13"/>
    <w:rsid w:val="00C7790F"/>
    <w:rsid w:val="00C80755"/>
    <w:rsid w:val="00C80BCB"/>
    <w:rsid w:val="00C81679"/>
    <w:rsid w:val="00C8284C"/>
    <w:rsid w:val="00C83A8B"/>
    <w:rsid w:val="00C83D5F"/>
    <w:rsid w:val="00C84B79"/>
    <w:rsid w:val="00C84FC0"/>
    <w:rsid w:val="00C86CE8"/>
    <w:rsid w:val="00C91691"/>
    <w:rsid w:val="00C918CC"/>
    <w:rsid w:val="00C9232E"/>
    <w:rsid w:val="00C9330C"/>
    <w:rsid w:val="00C94E7E"/>
    <w:rsid w:val="00C9550C"/>
    <w:rsid w:val="00C962B5"/>
    <w:rsid w:val="00CA0441"/>
    <w:rsid w:val="00CA18DF"/>
    <w:rsid w:val="00CA384C"/>
    <w:rsid w:val="00CA399C"/>
    <w:rsid w:val="00CA462E"/>
    <w:rsid w:val="00CA4CE0"/>
    <w:rsid w:val="00CA59E8"/>
    <w:rsid w:val="00CA5C76"/>
    <w:rsid w:val="00CA5CDB"/>
    <w:rsid w:val="00CA66BA"/>
    <w:rsid w:val="00CB1E8C"/>
    <w:rsid w:val="00CB5814"/>
    <w:rsid w:val="00CB7239"/>
    <w:rsid w:val="00CB7F76"/>
    <w:rsid w:val="00CC043F"/>
    <w:rsid w:val="00CC3066"/>
    <w:rsid w:val="00CC47B7"/>
    <w:rsid w:val="00CC59FE"/>
    <w:rsid w:val="00CC64FC"/>
    <w:rsid w:val="00CC78BA"/>
    <w:rsid w:val="00CC7D7D"/>
    <w:rsid w:val="00CD09DF"/>
    <w:rsid w:val="00CD14CF"/>
    <w:rsid w:val="00CD18F8"/>
    <w:rsid w:val="00CD3620"/>
    <w:rsid w:val="00CD5A96"/>
    <w:rsid w:val="00CE0C62"/>
    <w:rsid w:val="00CE209D"/>
    <w:rsid w:val="00CE3CA7"/>
    <w:rsid w:val="00CE4DC9"/>
    <w:rsid w:val="00CE5C92"/>
    <w:rsid w:val="00CE7B19"/>
    <w:rsid w:val="00CF0787"/>
    <w:rsid w:val="00CF0AD1"/>
    <w:rsid w:val="00CF175E"/>
    <w:rsid w:val="00CF206D"/>
    <w:rsid w:val="00CF5216"/>
    <w:rsid w:val="00CF634E"/>
    <w:rsid w:val="00CF666C"/>
    <w:rsid w:val="00D013EB"/>
    <w:rsid w:val="00D019D8"/>
    <w:rsid w:val="00D026E4"/>
    <w:rsid w:val="00D02A8B"/>
    <w:rsid w:val="00D0380C"/>
    <w:rsid w:val="00D10C6E"/>
    <w:rsid w:val="00D11049"/>
    <w:rsid w:val="00D126E1"/>
    <w:rsid w:val="00D15D3E"/>
    <w:rsid w:val="00D16DF9"/>
    <w:rsid w:val="00D22740"/>
    <w:rsid w:val="00D2435B"/>
    <w:rsid w:val="00D24BAB"/>
    <w:rsid w:val="00D267CB"/>
    <w:rsid w:val="00D26872"/>
    <w:rsid w:val="00D3178F"/>
    <w:rsid w:val="00D32369"/>
    <w:rsid w:val="00D324A0"/>
    <w:rsid w:val="00D3551E"/>
    <w:rsid w:val="00D3562F"/>
    <w:rsid w:val="00D35BCA"/>
    <w:rsid w:val="00D35CA3"/>
    <w:rsid w:val="00D364A5"/>
    <w:rsid w:val="00D365FE"/>
    <w:rsid w:val="00D366A8"/>
    <w:rsid w:val="00D36E0D"/>
    <w:rsid w:val="00D428CC"/>
    <w:rsid w:val="00D440FF"/>
    <w:rsid w:val="00D44257"/>
    <w:rsid w:val="00D47ABE"/>
    <w:rsid w:val="00D50EC8"/>
    <w:rsid w:val="00D52E33"/>
    <w:rsid w:val="00D5379F"/>
    <w:rsid w:val="00D5384C"/>
    <w:rsid w:val="00D53D9A"/>
    <w:rsid w:val="00D53EF7"/>
    <w:rsid w:val="00D549D8"/>
    <w:rsid w:val="00D567D8"/>
    <w:rsid w:val="00D569F5"/>
    <w:rsid w:val="00D6057B"/>
    <w:rsid w:val="00D611D6"/>
    <w:rsid w:val="00D63E14"/>
    <w:rsid w:val="00D63EB6"/>
    <w:rsid w:val="00D6619B"/>
    <w:rsid w:val="00D66814"/>
    <w:rsid w:val="00D66BDE"/>
    <w:rsid w:val="00D7080A"/>
    <w:rsid w:val="00D729CF"/>
    <w:rsid w:val="00D73FEC"/>
    <w:rsid w:val="00D747F4"/>
    <w:rsid w:val="00D74F43"/>
    <w:rsid w:val="00D7543C"/>
    <w:rsid w:val="00D75CA5"/>
    <w:rsid w:val="00D7640C"/>
    <w:rsid w:val="00D76870"/>
    <w:rsid w:val="00D76B22"/>
    <w:rsid w:val="00D77B95"/>
    <w:rsid w:val="00D81A2A"/>
    <w:rsid w:val="00D82988"/>
    <w:rsid w:val="00D836A2"/>
    <w:rsid w:val="00D83AFD"/>
    <w:rsid w:val="00D84E00"/>
    <w:rsid w:val="00D85157"/>
    <w:rsid w:val="00D9007F"/>
    <w:rsid w:val="00D90C78"/>
    <w:rsid w:val="00D92D94"/>
    <w:rsid w:val="00D9346D"/>
    <w:rsid w:val="00D96D19"/>
    <w:rsid w:val="00D96DF8"/>
    <w:rsid w:val="00D96E89"/>
    <w:rsid w:val="00DA1485"/>
    <w:rsid w:val="00DA1707"/>
    <w:rsid w:val="00DA172F"/>
    <w:rsid w:val="00DA18CB"/>
    <w:rsid w:val="00DA1EBC"/>
    <w:rsid w:val="00DA1ED2"/>
    <w:rsid w:val="00DA58D7"/>
    <w:rsid w:val="00DA6111"/>
    <w:rsid w:val="00DA64D0"/>
    <w:rsid w:val="00DA7CDF"/>
    <w:rsid w:val="00DA7ED2"/>
    <w:rsid w:val="00DB0B3E"/>
    <w:rsid w:val="00DB2453"/>
    <w:rsid w:val="00DB2672"/>
    <w:rsid w:val="00DB34D4"/>
    <w:rsid w:val="00DB35DB"/>
    <w:rsid w:val="00DB37D2"/>
    <w:rsid w:val="00DB4D04"/>
    <w:rsid w:val="00DB52FD"/>
    <w:rsid w:val="00DB5313"/>
    <w:rsid w:val="00DB6088"/>
    <w:rsid w:val="00DB62F5"/>
    <w:rsid w:val="00DB6D23"/>
    <w:rsid w:val="00DB7475"/>
    <w:rsid w:val="00DC0522"/>
    <w:rsid w:val="00DC0769"/>
    <w:rsid w:val="00DC096A"/>
    <w:rsid w:val="00DC2F56"/>
    <w:rsid w:val="00DC78D7"/>
    <w:rsid w:val="00DC7F4C"/>
    <w:rsid w:val="00DD138E"/>
    <w:rsid w:val="00DD1622"/>
    <w:rsid w:val="00DD1A07"/>
    <w:rsid w:val="00DE0196"/>
    <w:rsid w:val="00DE0F8E"/>
    <w:rsid w:val="00DE1753"/>
    <w:rsid w:val="00DE183A"/>
    <w:rsid w:val="00DE2ABC"/>
    <w:rsid w:val="00DE3EDF"/>
    <w:rsid w:val="00DE4101"/>
    <w:rsid w:val="00DE46E3"/>
    <w:rsid w:val="00DE667C"/>
    <w:rsid w:val="00DF0226"/>
    <w:rsid w:val="00DF0920"/>
    <w:rsid w:val="00DF104A"/>
    <w:rsid w:val="00DF146D"/>
    <w:rsid w:val="00DF178D"/>
    <w:rsid w:val="00DF1BD8"/>
    <w:rsid w:val="00DF2A49"/>
    <w:rsid w:val="00DF3646"/>
    <w:rsid w:val="00DF5075"/>
    <w:rsid w:val="00DF5B70"/>
    <w:rsid w:val="00DF7685"/>
    <w:rsid w:val="00E00090"/>
    <w:rsid w:val="00E02A99"/>
    <w:rsid w:val="00E03897"/>
    <w:rsid w:val="00E03D8B"/>
    <w:rsid w:val="00E04332"/>
    <w:rsid w:val="00E05332"/>
    <w:rsid w:val="00E05912"/>
    <w:rsid w:val="00E0657D"/>
    <w:rsid w:val="00E07566"/>
    <w:rsid w:val="00E07DE0"/>
    <w:rsid w:val="00E109E9"/>
    <w:rsid w:val="00E13011"/>
    <w:rsid w:val="00E14A3A"/>
    <w:rsid w:val="00E17C03"/>
    <w:rsid w:val="00E21630"/>
    <w:rsid w:val="00E21B87"/>
    <w:rsid w:val="00E2256B"/>
    <w:rsid w:val="00E22D4C"/>
    <w:rsid w:val="00E24384"/>
    <w:rsid w:val="00E245CD"/>
    <w:rsid w:val="00E24C16"/>
    <w:rsid w:val="00E30118"/>
    <w:rsid w:val="00E30A6D"/>
    <w:rsid w:val="00E318CE"/>
    <w:rsid w:val="00E32139"/>
    <w:rsid w:val="00E32CC4"/>
    <w:rsid w:val="00E33C7F"/>
    <w:rsid w:val="00E351A6"/>
    <w:rsid w:val="00E3763A"/>
    <w:rsid w:val="00E40CE1"/>
    <w:rsid w:val="00E41665"/>
    <w:rsid w:val="00E41697"/>
    <w:rsid w:val="00E416C6"/>
    <w:rsid w:val="00E41D4D"/>
    <w:rsid w:val="00E44BE3"/>
    <w:rsid w:val="00E4579C"/>
    <w:rsid w:val="00E45CED"/>
    <w:rsid w:val="00E466EE"/>
    <w:rsid w:val="00E517E3"/>
    <w:rsid w:val="00E54A13"/>
    <w:rsid w:val="00E562C3"/>
    <w:rsid w:val="00E56443"/>
    <w:rsid w:val="00E57249"/>
    <w:rsid w:val="00E606DC"/>
    <w:rsid w:val="00E61002"/>
    <w:rsid w:val="00E625E0"/>
    <w:rsid w:val="00E629E8"/>
    <w:rsid w:val="00E63DEF"/>
    <w:rsid w:val="00E64371"/>
    <w:rsid w:val="00E646B8"/>
    <w:rsid w:val="00E66144"/>
    <w:rsid w:val="00E6761C"/>
    <w:rsid w:val="00E7044C"/>
    <w:rsid w:val="00E7258D"/>
    <w:rsid w:val="00E72810"/>
    <w:rsid w:val="00E72AD6"/>
    <w:rsid w:val="00E76E34"/>
    <w:rsid w:val="00E8372A"/>
    <w:rsid w:val="00E84310"/>
    <w:rsid w:val="00E8544D"/>
    <w:rsid w:val="00E85F66"/>
    <w:rsid w:val="00E86684"/>
    <w:rsid w:val="00E86D5F"/>
    <w:rsid w:val="00E87DC5"/>
    <w:rsid w:val="00E92A9B"/>
    <w:rsid w:val="00E94383"/>
    <w:rsid w:val="00E94651"/>
    <w:rsid w:val="00E94AE0"/>
    <w:rsid w:val="00E94F41"/>
    <w:rsid w:val="00E95608"/>
    <w:rsid w:val="00E970DC"/>
    <w:rsid w:val="00E97DA1"/>
    <w:rsid w:val="00EA2470"/>
    <w:rsid w:val="00EA3B38"/>
    <w:rsid w:val="00EA485A"/>
    <w:rsid w:val="00EA4989"/>
    <w:rsid w:val="00EA6009"/>
    <w:rsid w:val="00EA65A7"/>
    <w:rsid w:val="00EA77CB"/>
    <w:rsid w:val="00EB07F9"/>
    <w:rsid w:val="00EB0E9D"/>
    <w:rsid w:val="00EB2F05"/>
    <w:rsid w:val="00EB3A8E"/>
    <w:rsid w:val="00EB58D3"/>
    <w:rsid w:val="00EC087A"/>
    <w:rsid w:val="00EC189E"/>
    <w:rsid w:val="00EC2775"/>
    <w:rsid w:val="00EC33B1"/>
    <w:rsid w:val="00EC340A"/>
    <w:rsid w:val="00EC35B6"/>
    <w:rsid w:val="00EC3B1E"/>
    <w:rsid w:val="00EC5074"/>
    <w:rsid w:val="00EC518C"/>
    <w:rsid w:val="00EC5302"/>
    <w:rsid w:val="00EC6DE3"/>
    <w:rsid w:val="00ED2276"/>
    <w:rsid w:val="00ED3822"/>
    <w:rsid w:val="00ED3BEC"/>
    <w:rsid w:val="00ED3D03"/>
    <w:rsid w:val="00ED3D79"/>
    <w:rsid w:val="00ED3F1F"/>
    <w:rsid w:val="00ED7BA7"/>
    <w:rsid w:val="00ED7BFB"/>
    <w:rsid w:val="00EE00B2"/>
    <w:rsid w:val="00EE0E32"/>
    <w:rsid w:val="00EE1030"/>
    <w:rsid w:val="00EE1188"/>
    <w:rsid w:val="00EE1C15"/>
    <w:rsid w:val="00EE1E75"/>
    <w:rsid w:val="00EE6B2D"/>
    <w:rsid w:val="00EE76F2"/>
    <w:rsid w:val="00EE7FDD"/>
    <w:rsid w:val="00EF0FFB"/>
    <w:rsid w:val="00EF2118"/>
    <w:rsid w:val="00EF25A6"/>
    <w:rsid w:val="00EF2AAC"/>
    <w:rsid w:val="00EF6BBB"/>
    <w:rsid w:val="00EF716A"/>
    <w:rsid w:val="00EF7B24"/>
    <w:rsid w:val="00F00C80"/>
    <w:rsid w:val="00F01143"/>
    <w:rsid w:val="00F01737"/>
    <w:rsid w:val="00F02EFC"/>
    <w:rsid w:val="00F0532A"/>
    <w:rsid w:val="00F15E38"/>
    <w:rsid w:val="00F1645F"/>
    <w:rsid w:val="00F16786"/>
    <w:rsid w:val="00F21035"/>
    <w:rsid w:val="00F261BF"/>
    <w:rsid w:val="00F26E0C"/>
    <w:rsid w:val="00F27938"/>
    <w:rsid w:val="00F307B6"/>
    <w:rsid w:val="00F30F9B"/>
    <w:rsid w:val="00F34956"/>
    <w:rsid w:val="00F34C00"/>
    <w:rsid w:val="00F354BB"/>
    <w:rsid w:val="00F3794F"/>
    <w:rsid w:val="00F40146"/>
    <w:rsid w:val="00F40F7E"/>
    <w:rsid w:val="00F4582A"/>
    <w:rsid w:val="00F46FAC"/>
    <w:rsid w:val="00F47556"/>
    <w:rsid w:val="00F508C8"/>
    <w:rsid w:val="00F52EDB"/>
    <w:rsid w:val="00F5328C"/>
    <w:rsid w:val="00F5421D"/>
    <w:rsid w:val="00F54498"/>
    <w:rsid w:val="00F55928"/>
    <w:rsid w:val="00F55D92"/>
    <w:rsid w:val="00F562CC"/>
    <w:rsid w:val="00F60C89"/>
    <w:rsid w:val="00F61185"/>
    <w:rsid w:val="00F61851"/>
    <w:rsid w:val="00F62055"/>
    <w:rsid w:val="00F62A2B"/>
    <w:rsid w:val="00F64AB2"/>
    <w:rsid w:val="00F655D8"/>
    <w:rsid w:val="00F66ED0"/>
    <w:rsid w:val="00F679FF"/>
    <w:rsid w:val="00F67B20"/>
    <w:rsid w:val="00F703FF"/>
    <w:rsid w:val="00F70950"/>
    <w:rsid w:val="00F71B6A"/>
    <w:rsid w:val="00F71CC7"/>
    <w:rsid w:val="00F720B8"/>
    <w:rsid w:val="00F72702"/>
    <w:rsid w:val="00F739F6"/>
    <w:rsid w:val="00F755BC"/>
    <w:rsid w:val="00F768A8"/>
    <w:rsid w:val="00F7733E"/>
    <w:rsid w:val="00F78238"/>
    <w:rsid w:val="00F82078"/>
    <w:rsid w:val="00F820AA"/>
    <w:rsid w:val="00F8276A"/>
    <w:rsid w:val="00F84DCA"/>
    <w:rsid w:val="00F86C7F"/>
    <w:rsid w:val="00F86CDC"/>
    <w:rsid w:val="00F91B33"/>
    <w:rsid w:val="00F94807"/>
    <w:rsid w:val="00F94E6B"/>
    <w:rsid w:val="00F969B7"/>
    <w:rsid w:val="00F96B54"/>
    <w:rsid w:val="00F977E5"/>
    <w:rsid w:val="00FA0F28"/>
    <w:rsid w:val="00FA16CE"/>
    <w:rsid w:val="00FA2C2C"/>
    <w:rsid w:val="00FA33E9"/>
    <w:rsid w:val="00FA40B4"/>
    <w:rsid w:val="00FA635B"/>
    <w:rsid w:val="00FA77E1"/>
    <w:rsid w:val="00FB057A"/>
    <w:rsid w:val="00FB0628"/>
    <w:rsid w:val="00FB3043"/>
    <w:rsid w:val="00FB52B0"/>
    <w:rsid w:val="00FB6FB5"/>
    <w:rsid w:val="00FB73D2"/>
    <w:rsid w:val="00FB761E"/>
    <w:rsid w:val="00FC03FE"/>
    <w:rsid w:val="00FC0A7D"/>
    <w:rsid w:val="00FC1129"/>
    <w:rsid w:val="00FC45D9"/>
    <w:rsid w:val="00FD4491"/>
    <w:rsid w:val="00FD4544"/>
    <w:rsid w:val="00FD51B1"/>
    <w:rsid w:val="00FD5ECD"/>
    <w:rsid w:val="00FD5F6C"/>
    <w:rsid w:val="00FE0DE8"/>
    <w:rsid w:val="00FE134A"/>
    <w:rsid w:val="00FE2106"/>
    <w:rsid w:val="00FE27F9"/>
    <w:rsid w:val="00FE3669"/>
    <w:rsid w:val="00FE4D14"/>
    <w:rsid w:val="00FE57C1"/>
    <w:rsid w:val="00FE5CD9"/>
    <w:rsid w:val="00FE5ED6"/>
    <w:rsid w:val="00FE7772"/>
    <w:rsid w:val="00FF4AC7"/>
    <w:rsid w:val="00FF5218"/>
    <w:rsid w:val="00FF5CEC"/>
    <w:rsid w:val="0425E17B"/>
    <w:rsid w:val="04B94557"/>
    <w:rsid w:val="0664DAED"/>
    <w:rsid w:val="068961B2"/>
    <w:rsid w:val="078D6724"/>
    <w:rsid w:val="07F09445"/>
    <w:rsid w:val="096E7B14"/>
    <w:rsid w:val="0A962752"/>
    <w:rsid w:val="0B801BBE"/>
    <w:rsid w:val="0C6C5761"/>
    <w:rsid w:val="0CCDDA49"/>
    <w:rsid w:val="0D24B9B2"/>
    <w:rsid w:val="0D98C211"/>
    <w:rsid w:val="0E302427"/>
    <w:rsid w:val="0E425792"/>
    <w:rsid w:val="0EE02AE2"/>
    <w:rsid w:val="10057B0B"/>
    <w:rsid w:val="100E80A7"/>
    <w:rsid w:val="104A44DC"/>
    <w:rsid w:val="10507E8D"/>
    <w:rsid w:val="10C6222A"/>
    <w:rsid w:val="113EAAA1"/>
    <w:rsid w:val="125DF349"/>
    <w:rsid w:val="12F048D0"/>
    <w:rsid w:val="1355F4B3"/>
    <w:rsid w:val="161530EF"/>
    <w:rsid w:val="16762A56"/>
    <w:rsid w:val="17B103E2"/>
    <w:rsid w:val="17CDA443"/>
    <w:rsid w:val="18D168AC"/>
    <w:rsid w:val="18F2C7B0"/>
    <w:rsid w:val="19D4F9F3"/>
    <w:rsid w:val="1AA464E7"/>
    <w:rsid w:val="1B4263D6"/>
    <w:rsid w:val="1B4BA874"/>
    <w:rsid w:val="1C98DBE7"/>
    <w:rsid w:val="1CF69A6B"/>
    <w:rsid w:val="1D00A2A8"/>
    <w:rsid w:val="1D2B1FD1"/>
    <w:rsid w:val="1D4E623E"/>
    <w:rsid w:val="1D6D71A4"/>
    <w:rsid w:val="1DB012DD"/>
    <w:rsid w:val="1E117C03"/>
    <w:rsid w:val="1E57AC7A"/>
    <w:rsid w:val="1E6E51E9"/>
    <w:rsid w:val="1E8C6439"/>
    <w:rsid w:val="1F101F81"/>
    <w:rsid w:val="2072032C"/>
    <w:rsid w:val="20CCDD1C"/>
    <w:rsid w:val="211F24FE"/>
    <w:rsid w:val="22ADCA19"/>
    <w:rsid w:val="22F1C57B"/>
    <w:rsid w:val="2405105B"/>
    <w:rsid w:val="2488E5EC"/>
    <w:rsid w:val="24898CCB"/>
    <w:rsid w:val="24BC71BD"/>
    <w:rsid w:val="25150068"/>
    <w:rsid w:val="264F9B67"/>
    <w:rsid w:val="26B2DAA9"/>
    <w:rsid w:val="27B60BC7"/>
    <w:rsid w:val="280E9289"/>
    <w:rsid w:val="283B43A2"/>
    <w:rsid w:val="28C34294"/>
    <w:rsid w:val="2941ADC2"/>
    <w:rsid w:val="2B6EF457"/>
    <w:rsid w:val="2B99A023"/>
    <w:rsid w:val="2BEC5C17"/>
    <w:rsid w:val="2CF18134"/>
    <w:rsid w:val="2D90A633"/>
    <w:rsid w:val="2ED1F946"/>
    <w:rsid w:val="301CBD22"/>
    <w:rsid w:val="30210D90"/>
    <w:rsid w:val="3077F0E3"/>
    <w:rsid w:val="30EAD818"/>
    <w:rsid w:val="352CD379"/>
    <w:rsid w:val="36001801"/>
    <w:rsid w:val="3799C5A0"/>
    <w:rsid w:val="37BC32EF"/>
    <w:rsid w:val="37C86487"/>
    <w:rsid w:val="381EE5D4"/>
    <w:rsid w:val="399EB09C"/>
    <w:rsid w:val="39F46D15"/>
    <w:rsid w:val="39F52553"/>
    <w:rsid w:val="3A7F826D"/>
    <w:rsid w:val="3AC5DBD3"/>
    <w:rsid w:val="3C0407A0"/>
    <w:rsid w:val="3C56FD62"/>
    <w:rsid w:val="3C922FCF"/>
    <w:rsid w:val="3DA94257"/>
    <w:rsid w:val="3E090B60"/>
    <w:rsid w:val="3E1E8561"/>
    <w:rsid w:val="3FCFACA3"/>
    <w:rsid w:val="3FF4D588"/>
    <w:rsid w:val="422AF24D"/>
    <w:rsid w:val="43037529"/>
    <w:rsid w:val="433E914B"/>
    <w:rsid w:val="45BF0EA8"/>
    <w:rsid w:val="4694ACE2"/>
    <w:rsid w:val="4707CDBD"/>
    <w:rsid w:val="47095661"/>
    <w:rsid w:val="47FF8819"/>
    <w:rsid w:val="4840F429"/>
    <w:rsid w:val="4879D8A7"/>
    <w:rsid w:val="49B88874"/>
    <w:rsid w:val="4C93C3C9"/>
    <w:rsid w:val="4CAAE48E"/>
    <w:rsid w:val="4F23ABA7"/>
    <w:rsid w:val="5069E909"/>
    <w:rsid w:val="515EBD72"/>
    <w:rsid w:val="5179F31E"/>
    <w:rsid w:val="5263173B"/>
    <w:rsid w:val="52720C4E"/>
    <w:rsid w:val="52CA1A11"/>
    <w:rsid w:val="53194D46"/>
    <w:rsid w:val="5329B204"/>
    <w:rsid w:val="5381088C"/>
    <w:rsid w:val="54215FE6"/>
    <w:rsid w:val="54513077"/>
    <w:rsid w:val="56ED8B51"/>
    <w:rsid w:val="56F77C9C"/>
    <w:rsid w:val="59443DEC"/>
    <w:rsid w:val="5CA8348E"/>
    <w:rsid w:val="5E34AA3C"/>
    <w:rsid w:val="5FBD6360"/>
    <w:rsid w:val="5FD497A8"/>
    <w:rsid w:val="60148295"/>
    <w:rsid w:val="60E33F3D"/>
    <w:rsid w:val="6240A59B"/>
    <w:rsid w:val="636B252F"/>
    <w:rsid w:val="63FC99E2"/>
    <w:rsid w:val="65A10E3F"/>
    <w:rsid w:val="67AC54B6"/>
    <w:rsid w:val="67CA59EA"/>
    <w:rsid w:val="68203F69"/>
    <w:rsid w:val="68826668"/>
    <w:rsid w:val="6985DB9B"/>
    <w:rsid w:val="6A7CA956"/>
    <w:rsid w:val="6AA2D61C"/>
    <w:rsid w:val="6B21ABFC"/>
    <w:rsid w:val="6C3479CB"/>
    <w:rsid w:val="6CF3C775"/>
    <w:rsid w:val="6D782636"/>
    <w:rsid w:val="6DDD2FC7"/>
    <w:rsid w:val="6DFEB98C"/>
    <w:rsid w:val="6F2B0B6C"/>
    <w:rsid w:val="6F5BEBF2"/>
    <w:rsid w:val="71B81712"/>
    <w:rsid w:val="723ED3D0"/>
    <w:rsid w:val="728B59C1"/>
    <w:rsid w:val="72C31AE7"/>
    <w:rsid w:val="73DB565E"/>
    <w:rsid w:val="74085639"/>
    <w:rsid w:val="740E9FB3"/>
    <w:rsid w:val="746B3EF2"/>
    <w:rsid w:val="749FBA4E"/>
    <w:rsid w:val="74A7D2B6"/>
    <w:rsid w:val="75EEFD2B"/>
    <w:rsid w:val="75FC8D86"/>
    <w:rsid w:val="77051648"/>
    <w:rsid w:val="778F0426"/>
    <w:rsid w:val="783171D3"/>
    <w:rsid w:val="78332455"/>
    <w:rsid w:val="79185097"/>
    <w:rsid w:val="7ACDEA32"/>
    <w:rsid w:val="7B65C60B"/>
    <w:rsid w:val="7B8C0898"/>
    <w:rsid w:val="7CFACC7A"/>
    <w:rsid w:val="7D58EDD3"/>
    <w:rsid w:val="7DE33A0A"/>
    <w:rsid w:val="7DEA533A"/>
    <w:rsid w:val="7DF68761"/>
    <w:rsid w:val="7E2CB6E3"/>
    <w:rsid w:val="7E319C20"/>
    <w:rsid w:val="7E99BAB9"/>
    <w:rsid w:val="7F8A2BDD"/>
    <w:rsid w:val="7FB2017B"/>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B13D03D8-044C-4F12-931B-F5B9684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13"/>
    <w:rPr>
      <w:rFonts w:ascii="Arial" w:hAnsi="Arial"/>
      <w:sz w:val="28"/>
    </w:rPr>
  </w:style>
  <w:style w:type="paragraph" w:styleId="Heading1">
    <w:name w:val="heading 1"/>
    <w:basedOn w:val="Normal"/>
    <w:next w:val="Normal"/>
    <w:link w:val="Heading1Char"/>
    <w:qFormat/>
    <w:rsid w:val="00DD1622"/>
    <w:pPr>
      <w:keepNext/>
      <w:numPr>
        <w:numId w:val="6"/>
      </w:numPr>
      <w:spacing w:after="140"/>
      <w:outlineLvl w:val="0"/>
    </w:pPr>
    <w:rPr>
      <w:b/>
      <w:kern w:val="32"/>
      <w:sz w:val="48"/>
      <w:szCs w:val="48"/>
    </w:rPr>
  </w:style>
  <w:style w:type="paragraph" w:styleId="Heading2">
    <w:name w:val="heading 2"/>
    <w:basedOn w:val="Normal"/>
    <w:next w:val="Normal"/>
    <w:link w:val="Heading2Char"/>
    <w:uiPriority w:val="99"/>
    <w:qFormat/>
    <w:rsid w:val="00BD6952"/>
    <w:pPr>
      <w:keepNext/>
      <w:numPr>
        <w:ilvl w:val="1"/>
        <w:numId w:val="6"/>
      </w:numPr>
      <w:spacing w:after="120"/>
      <w:outlineLvl w:val="1"/>
    </w:pPr>
    <w:rPr>
      <w:b/>
      <w:sz w:val="36"/>
    </w:rPr>
  </w:style>
  <w:style w:type="paragraph" w:styleId="Heading3">
    <w:name w:val="heading 3"/>
    <w:basedOn w:val="Normal"/>
    <w:next w:val="Normal"/>
    <w:link w:val="Heading3Char"/>
    <w:qFormat/>
    <w:rsid w:val="00DD1622"/>
    <w:pPr>
      <w:keepNext/>
      <w:numPr>
        <w:ilvl w:val="2"/>
        <w:numId w:val="6"/>
      </w:numPr>
      <w:spacing w:after="100"/>
      <w:outlineLvl w:val="2"/>
    </w:pPr>
    <w:rPr>
      <w:b/>
      <w:szCs w:val="28"/>
    </w:rPr>
  </w:style>
  <w:style w:type="paragraph" w:styleId="Heading4">
    <w:name w:val="heading 4"/>
    <w:basedOn w:val="Normal"/>
    <w:next w:val="Normal"/>
    <w:link w:val="Heading4Char"/>
    <w:qFormat/>
    <w:rsid w:val="00DB35DB"/>
    <w:pPr>
      <w:keepNext/>
      <w:numPr>
        <w:ilvl w:val="3"/>
        <w:numId w:val="6"/>
      </w:numPr>
      <w:spacing w:after="120"/>
      <w:outlineLvl w:val="3"/>
    </w:pPr>
    <w:rPr>
      <w:b/>
    </w:rPr>
  </w:style>
  <w:style w:type="paragraph" w:styleId="Heading5">
    <w:name w:val="heading 5"/>
    <w:basedOn w:val="Normal"/>
    <w:next w:val="Normal"/>
    <w:link w:val="Heading5Char"/>
    <w:qFormat/>
    <w:rsid w:val="00BD6952"/>
    <w:pPr>
      <w:keepNext/>
      <w:numPr>
        <w:ilvl w:val="4"/>
        <w:numId w:val="6"/>
      </w:numPr>
      <w:spacing w:after="60"/>
      <w:outlineLvl w:val="4"/>
    </w:pPr>
    <w:rPr>
      <w:b/>
    </w:rPr>
  </w:style>
  <w:style w:type="paragraph" w:styleId="Heading6">
    <w:name w:val="heading 6"/>
    <w:basedOn w:val="Normal"/>
    <w:next w:val="Normal"/>
    <w:link w:val="Heading6Char"/>
    <w:qFormat/>
    <w:rsid w:val="00BD6952"/>
    <w:pPr>
      <w:keepNext/>
      <w:numPr>
        <w:ilvl w:val="5"/>
        <w:numId w:val="6"/>
      </w:numPr>
      <w:spacing w:after="40"/>
      <w:outlineLvl w:val="5"/>
    </w:pPr>
    <w:rPr>
      <w:b/>
    </w:rPr>
  </w:style>
  <w:style w:type="paragraph" w:styleId="Heading7">
    <w:name w:val="heading 7"/>
    <w:basedOn w:val="Normal"/>
    <w:next w:val="Normal"/>
    <w:link w:val="Heading7Char"/>
    <w:semiHidden/>
    <w:unhideWhenUsed/>
    <w:qFormat/>
    <w:rsid w:val="00DA1ED2"/>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A1ED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A1ED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uiPriority w:val="99"/>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3"/>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Subheading">
    <w:name w:val="Subheading"/>
    <w:basedOn w:val="Normal"/>
    <w:next w:val="Normal"/>
    <w:rsid w:val="00E54A13"/>
    <w:pPr>
      <w:keepNext/>
    </w:pPr>
    <w:rPr>
      <w:b/>
      <w:sz w:val="32"/>
    </w:rPr>
  </w:style>
  <w:style w:type="paragraph" w:styleId="Caption">
    <w:name w:val="caption"/>
    <w:basedOn w:val="Normal"/>
    <w:next w:val="Normal"/>
    <w:rsid w:val="00E54A13"/>
    <w:rPr>
      <w:b/>
      <w:bCs/>
    </w:rPr>
  </w:style>
  <w:style w:type="paragraph" w:styleId="TableofFigures">
    <w:name w:val="table of figures"/>
    <w:basedOn w:val="Normal"/>
    <w:next w:val="Normal"/>
    <w:semiHidden/>
    <w:rsid w:val="00E54A13"/>
  </w:style>
  <w:style w:type="table" w:styleId="TableGrid">
    <w:name w:val="Table Grid"/>
    <w:basedOn w:val="TableNormal"/>
    <w:rsid w:val="00E54A1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66052"/>
    <w:pPr>
      <w:tabs>
        <w:tab w:val="right" w:leader="dot" w:pos="9016"/>
      </w:tabs>
      <w:spacing w:after="100"/>
    </w:pPr>
  </w:style>
  <w:style w:type="paragraph" w:styleId="TOC2">
    <w:name w:val="toc 2"/>
    <w:basedOn w:val="Normal"/>
    <w:next w:val="Normal"/>
    <w:autoRedefine/>
    <w:uiPriority w:val="39"/>
    <w:unhideWhenUsed/>
    <w:rsid w:val="00B27B91"/>
    <w:pPr>
      <w:tabs>
        <w:tab w:val="left" w:pos="1134"/>
        <w:tab w:val="right" w:leader="dot" w:pos="9060"/>
      </w:tabs>
      <w:spacing w:after="100" w:line="276" w:lineRule="auto"/>
      <w:ind w:left="1134" w:hanging="567"/>
    </w:pPr>
  </w:style>
  <w:style w:type="paragraph" w:styleId="ListParagraph">
    <w:name w:val="List Paragraph"/>
    <w:basedOn w:val="Normal"/>
    <w:uiPriority w:val="34"/>
    <w:qFormat/>
    <w:rsid w:val="00E54A13"/>
    <w:pPr>
      <w:ind w:left="720"/>
      <w:contextualSpacing/>
    </w:pPr>
  </w:style>
  <w:style w:type="character" w:styleId="CommentReference">
    <w:name w:val="annotation reference"/>
    <w:basedOn w:val="DefaultParagraphFont"/>
    <w:semiHidden/>
    <w:unhideWhenUsed/>
    <w:rsid w:val="00E54A13"/>
    <w:rPr>
      <w:sz w:val="16"/>
      <w:szCs w:val="16"/>
    </w:rPr>
  </w:style>
  <w:style w:type="paragraph" w:styleId="CommentText">
    <w:name w:val="annotation text"/>
    <w:basedOn w:val="Normal"/>
    <w:link w:val="CommentTextChar"/>
    <w:unhideWhenUsed/>
    <w:rsid w:val="00E54A13"/>
    <w:rPr>
      <w:sz w:val="20"/>
    </w:rPr>
  </w:style>
  <w:style w:type="character" w:customStyle="1" w:styleId="CommentTextChar">
    <w:name w:val="Comment Text Char"/>
    <w:basedOn w:val="DefaultParagraphFont"/>
    <w:link w:val="CommentText"/>
    <w:rsid w:val="00E54A13"/>
    <w:rPr>
      <w:rFonts w:ascii="Arial" w:hAnsi="Arial"/>
    </w:rPr>
  </w:style>
  <w:style w:type="paragraph" w:styleId="CommentSubject">
    <w:name w:val="annotation subject"/>
    <w:basedOn w:val="CommentText"/>
    <w:next w:val="CommentText"/>
    <w:link w:val="CommentSubjectChar"/>
    <w:semiHidden/>
    <w:unhideWhenUsed/>
    <w:rsid w:val="00E54A13"/>
    <w:rPr>
      <w:b/>
      <w:bCs/>
    </w:rPr>
  </w:style>
  <w:style w:type="character" w:customStyle="1" w:styleId="CommentSubjectChar">
    <w:name w:val="Comment Subject Char"/>
    <w:basedOn w:val="CommentTextChar"/>
    <w:link w:val="CommentSubject"/>
    <w:semiHidden/>
    <w:rsid w:val="00E54A13"/>
    <w:rPr>
      <w:rFonts w:ascii="Arial" w:hAnsi="Arial"/>
      <w:b/>
      <w:bCs/>
    </w:rPr>
  </w:style>
  <w:style w:type="character" w:styleId="UnresolvedMention">
    <w:name w:val="Unresolved Mention"/>
    <w:basedOn w:val="DefaultParagraphFont"/>
    <w:uiPriority w:val="99"/>
    <w:unhideWhenUsed/>
    <w:rsid w:val="00E54A13"/>
    <w:rPr>
      <w:color w:val="605E5C"/>
      <w:shd w:val="clear" w:color="auto" w:fill="E1DFDD"/>
    </w:rPr>
  </w:style>
  <w:style w:type="character" w:styleId="Mention">
    <w:name w:val="Mention"/>
    <w:basedOn w:val="DefaultParagraphFont"/>
    <w:uiPriority w:val="99"/>
    <w:unhideWhenUsed/>
    <w:rsid w:val="00E54A13"/>
    <w:rPr>
      <w:color w:val="2B579A"/>
      <w:shd w:val="clear" w:color="auto" w:fill="E1DFDD"/>
    </w:rPr>
  </w:style>
  <w:style w:type="paragraph" w:styleId="Revision">
    <w:name w:val="Revision"/>
    <w:hidden/>
    <w:uiPriority w:val="99"/>
    <w:semiHidden/>
    <w:rsid w:val="004F4790"/>
    <w:rPr>
      <w:rFonts w:ascii="Arial" w:hAnsi="Arial"/>
      <w:sz w:val="28"/>
    </w:rPr>
  </w:style>
  <w:style w:type="paragraph" w:customStyle="1" w:styleId="paragraph">
    <w:name w:val="paragraph"/>
    <w:basedOn w:val="Normal"/>
    <w:rsid w:val="006370BB"/>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370BB"/>
  </w:style>
  <w:style w:type="character" w:customStyle="1" w:styleId="eop">
    <w:name w:val="eop"/>
    <w:basedOn w:val="DefaultParagraphFont"/>
    <w:rsid w:val="00D5384C"/>
  </w:style>
  <w:style w:type="table" w:styleId="PlainTable1">
    <w:name w:val="Plain Table 1"/>
    <w:basedOn w:val="TableNormal"/>
    <w:uiPriority w:val="99"/>
    <w:rsid w:val="00AF46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F46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AF4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
    <w:name w:val="Grid Table 7 Colorful"/>
    <w:basedOn w:val="TableNormal"/>
    <w:uiPriority w:val="52"/>
    <w:rsid w:val="00AF46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7Char">
    <w:name w:val="Heading 7 Char"/>
    <w:basedOn w:val="DefaultParagraphFont"/>
    <w:link w:val="Heading7"/>
    <w:semiHidden/>
    <w:rsid w:val="00DA1ED2"/>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semiHidden/>
    <w:rsid w:val="00DA1E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A1ED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660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27B91"/>
    <w:pPr>
      <w:tabs>
        <w:tab w:val="left" w:pos="1843"/>
        <w:tab w:val="right" w:leader="dot" w:pos="9016"/>
      </w:tabs>
      <w:spacing w:after="100" w:line="276" w:lineRule="auto"/>
      <w:ind w:left="1843"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2486">
      <w:bodyDiv w:val="1"/>
      <w:marLeft w:val="0"/>
      <w:marRight w:val="0"/>
      <w:marTop w:val="0"/>
      <w:marBottom w:val="0"/>
      <w:divBdr>
        <w:top w:val="none" w:sz="0" w:space="0" w:color="auto"/>
        <w:left w:val="none" w:sz="0" w:space="0" w:color="auto"/>
        <w:bottom w:val="none" w:sz="0" w:space="0" w:color="auto"/>
        <w:right w:val="none" w:sz="0" w:space="0" w:color="auto"/>
      </w:divBdr>
    </w:div>
    <w:div w:id="2068988019">
      <w:bodyDiv w:val="1"/>
      <w:marLeft w:val="0"/>
      <w:marRight w:val="0"/>
      <w:marTop w:val="0"/>
      <w:marBottom w:val="0"/>
      <w:divBdr>
        <w:top w:val="none" w:sz="0" w:space="0" w:color="auto"/>
        <w:left w:val="none" w:sz="0" w:space="0" w:color="auto"/>
        <w:bottom w:val="none" w:sz="0" w:space="0" w:color="auto"/>
        <w:right w:val="none" w:sz="0" w:space="0" w:color="auto"/>
      </w:divBdr>
    </w:div>
    <w:div w:id="2085448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dff21ff-f64b-43b3-b7b8-11a0e7847d20">
      <UserInfo>
        <DisplayName>Caireen Sutherland</DisplayName>
        <AccountId>12</AccountId>
        <AccountType/>
      </UserInfo>
      <UserInfo>
        <DisplayName>Sarah Holton</DisplayName>
        <AccountId>13</AccountId>
        <AccountType/>
      </UserInfo>
      <UserInfo>
        <DisplayName>Emma Edwards</DisplayName>
        <AccountId>7</AccountId>
        <AccountType/>
      </UserInfo>
      <UserInfo>
        <DisplayName>Lisa Hughes</DisplayName>
        <AccountId>20</AccountId>
        <AccountType/>
      </UserInfo>
      <UserInfo>
        <DisplayName>Kirsty Callingham</DisplayName>
        <AccountId>21</AccountId>
        <AccountType/>
      </UserInfo>
      <UserInfo>
        <DisplayName>John Dixon</DisplayName>
        <AccountId>22</AccountId>
        <AccountType/>
      </UserInfo>
      <UserInfo>
        <DisplayName>[LEFT] Emily Marr</DisplayName>
        <AccountId>23</AccountId>
        <AccountType/>
      </UserInfo>
      <UserInfo>
        <DisplayName>Sarah Lambert</DisplayName>
        <AccountId>24</AccountId>
        <AccountType/>
      </UserInfo>
      <UserInfo>
        <DisplayName>Rosaleen Dempsey</DisplayName>
        <AccountId>25</AccountId>
        <AccountType/>
      </UserInfo>
      <UserInfo>
        <DisplayName>Jas Bhangoo</DisplayName>
        <AccountId>14</AccountId>
        <AccountType/>
      </UserInfo>
      <UserInfo>
        <DisplayName>Simon Kerrigan</DisplayName>
        <AccountId>34</AccountId>
        <AccountType/>
      </UserInfo>
      <UserInfo>
        <DisplayName>Jane Sharp</DisplayName>
        <AccountId>35</AccountId>
        <AccountType/>
      </UserInfo>
      <UserInfo>
        <DisplayName>Roisin Jacklin</DisplayName>
        <AccountId>36</AccountId>
        <AccountType/>
      </UserInfo>
    </SharedWithUsers>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83763-A340-4C74-889D-A52B24633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3dff21ff-f64b-43b3-b7b8-11a0e7847d20"/>
    <ds:schemaRef ds:uri="http://schemas.microsoft.com/sharepoint/v3"/>
    <ds:schemaRef ds:uri="4a06fce1-e79f-455a-a885-b87b424c17e8"/>
  </ds:schemaRefs>
</ds:datastoreItem>
</file>

<file path=customXml/itemProps3.xml><?xml version="1.0" encoding="utf-8"?>
<ds:datastoreItem xmlns:ds="http://schemas.openxmlformats.org/officeDocument/2006/customXml" ds:itemID="{5000619C-DC0A-BE43-AE7A-C77B19692360}">
  <ds:schemaRefs>
    <ds:schemaRef ds:uri="http://schemas.openxmlformats.org/officeDocument/2006/bibliography"/>
  </ds:schemaRefs>
</ds:datastoreItem>
</file>

<file path=customXml/itemProps4.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Khadra Habane</cp:lastModifiedBy>
  <cp:revision>5</cp:revision>
  <cp:lastPrinted>2023-03-15T12:39:00Z</cp:lastPrinted>
  <dcterms:created xsi:type="dcterms:W3CDTF">2023-03-15T12:34:00Z</dcterms:created>
  <dcterms:modified xsi:type="dcterms:W3CDTF">2023-03-15T12:39:00Z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All Staff</vt:lpwstr>
  </property>
  <property fmtid="{D5CDD505-2E9C-101B-9397-08002B2CF9AE}" pid="3" name="AuthorIds_UIVersion_512">
    <vt:lpwstr>11</vt:lpwstr>
  </property>
  <property fmtid="{D5CDD505-2E9C-101B-9397-08002B2CF9AE}" pid="4" name="ContentTypeId">
    <vt:lpwstr>0x010100E29970168A53D7479B4520F3837FE300</vt:lpwstr>
  </property>
  <property fmtid="{D5CDD505-2E9C-101B-9397-08002B2CF9AE}" pid="5" name="MediaServiceImageTags">
    <vt:lpwstr/>
  </property>
</Properties>
</file>